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image/png" PartName="/word/media/document_image_rId3.png"/>
  <Override ContentType="application/vnd.openxmlformats-officedocument.wordprocessingml.numbering+xml" PartName="/word/numbering.xml"/>
  <Override ContentType="application/vnd.openxmlformats-officedocument.wordprocessingml.styles+xml" PartName="/word/styles.xml"/>
</Types>
</file>

<file path=_rels/.rels><?xml version="1.0" encoding="UTF-8" standalone="yes"?><Relationships xmlns="http://schemas.openxmlformats.org/package/2006/relationships"><Relationship Target="word/document.xml" Type="http://schemas.openxmlformats.org/officeDocument/2006/relationships/officeDocument" Id="rId1"/><Relationship Target="docProps/core.xml" Type="http://schemas.openxmlformats.org/package/2006/relationships/metadata/core-properties" Id="rId2"/><Relationship Target="docProps/app.xml" Type="http://schemas.openxmlformats.org/officeDocument/2006/relationships/extended-properties" Id="rId3"/></Relationships>
</file>

<file path=word/document.xml><?xml version="1.0" encoding="utf-8"?>
<w:document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v="urn:schemas-microsoft-com:vml" xmlns:o="urn:schemas-microsoft-com:office:office" xmlns:ns19="urn:schemas-microsoft-com:office:exce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mc:Ignorable="w14 w15">
  <w:body>
    <w:p w14:paraId="a31d66d" w14:textId="a31d66d">
      <w:pPr>
        <w:spacing w:after="0"/>
        <w:ind w:left="0"/>
        <w:jc w:val="left"/>
        <w15:collapsed w:val="false"/>
      </w:pPr>
      <w:r>
        <w:rPr>
          <w:rFonts w:ascii="Times New Roman"/>
          <w:b w:val="false"/>
          <w:i w:val="false"/>
          <w:color w:val="000000"/>
          <w:sz w:val="28"/>
        </w:rPr>
        <w:t>
				</w:t>
      </w:r>
      <w:r>
        <w:drawing>
          <wp:inline distT="0" distB="0" distL="0" distR="0">
            <wp:extent cx="2057400" cy="5715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3"/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b w:val="false"/>
          <w:i w:val="false"/>
          <w:color w:val="000000"/>
          <w:sz w:val="28"/>
        </w:rPr>
        <w:t>
					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  <w:sz w:val="28"/>
        </w:rPr>
        <w:t>О бюджете Средигорного сельского округа на 2025-2027 годы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Решение маслихата района Алтай Восточно-Казахстанской области от 26 декабря 2024 года № 24/22-VIII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>      Примечание ИЗПИ!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>      Настоящее решение вводится в действие с 01.01.2025.</w:t>
      </w:r>
    </w:p>
    <w:bookmarkStart w:name="z5" w:id="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В соответствии со </w:t>
      </w:r>
      <w:r>
        <w:rPr>
          <w:rFonts w:ascii="Times New Roman"/>
          <w:b w:val="false"/>
          <w:i w:val="false"/>
          <w:color w:val="000000"/>
          <w:sz w:val="28"/>
        </w:rPr>
        <w:t>статьей 75</w:t>
      </w:r>
      <w:r>
        <w:rPr>
          <w:rFonts w:ascii="Times New Roman"/>
          <w:b w:val="false"/>
          <w:i w:val="false"/>
          <w:color w:val="000000"/>
          <w:sz w:val="28"/>
        </w:rPr>
        <w:t xml:space="preserve"> Бюджетного кодекса Республики Казахстан, с подпунктом 1) пункта 1 </w:t>
      </w:r>
      <w:r>
        <w:rPr>
          <w:rFonts w:ascii="Times New Roman"/>
          <w:b w:val="false"/>
          <w:i w:val="false"/>
          <w:color w:val="000000"/>
          <w:sz w:val="28"/>
        </w:rPr>
        <w:t>статьи 6</w:t>
      </w:r>
      <w:r>
        <w:rPr>
          <w:rFonts w:ascii="Times New Roman"/>
          <w:b w:val="false"/>
          <w:i w:val="false"/>
          <w:color w:val="000000"/>
          <w:sz w:val="28"/>
        </w:rPr>
        <w:t xml:space="preserve"> Закона Республики Казахстан "О местном государственном управлении и самоуправлении в Республике Казахстан", маслихат района Алтай РЕШИЛ:</w:t>
      </w:r>
    </w:p>
    <w:bookmarkEnd w:id="0"/>
    <w:bookmarkStart w:name="z6" w:id="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1. Утвердить бюджет Средигорного сельского округа на 2025-2027 годы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приложениям 1</w:t>
      </w:r>
      <w:r>
        <w:rPr>
          <w:rFonts w:ascii="Times New Roman"/>
          <w:b w:val="false"/>
          <w:i w:val="false"/>
          <w:color w:val="000000"/>
          <w:sz w:val="28"/>
        </w:rPr>
        <w:t xml:space="preserve">, </w:t>
      </w:r>
      <w:r>
        <w:rPr>
          <w:rFonts w:ascii="Times New Roman"/>
          <w:b w:val="false"/>
          <w:i w:val="false"/>
          <w:color w:val="000000"/>
          <w:sz w:val="28"/>
        </w:rPr>
        <w:t>2</w:t>
      </w:r>
      <w:r>
        <w:rPr>
          <w:rFonts w:ascii="Times New Roman"/>
          <w:b w:val="false"/>
          <w:i w:val="false"/>
          <w:color w:val="000000"/>
          <w:sz w:val="28"/>
        </w:rPr>
        <w:t xml:space="preserve"> и </w:t>
      </w:r>
      <w:r>
        <w:rPr>
          <w:rFonts w:ascii="Times New Roman"/>
          <w:b w:val="false"/>
          <w:i w:val="false"/>
          <w:color w:val="000000"/>
          <w:sz w:val="28"/>
        </w:rPr>
        <w:t>3</w:t>
      </w:r>
      <w:r>
        <w:rPr>
          <w:rFonts w:ascii="Times New Roman"/>
          <w:b w:val="false"/>
          <w:i w:val="false"/>
          <w:color w:val="000000"/>
          <w:sz w:val="28"/>
        </w:rPr>
        <w:t xml:space="preserve"> соответственно, в том числе на 2025 год в следующих объемах:</w:t>
      </w:r>
    </w:p>
    <w:bookmarkEnd w:id="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доходы – 64579,6 тысяч тенге, в том числе: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налоговые поступления – 12867,3 тысяч тенге;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неналоговые поступления – 0,0 тысяч тенге;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поступления от продажи основного капитала – 0,0 тысяч тенге;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поступления трансфертов – 51712,3 тысяч тенге;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затраты – 67070,7 тысяч тенге;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чистое бюджетное кредитование – 0,0 тысяч тенге, в том числе: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бюджетные кредиты – 0,0 тысяч тенге;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погашение бюджетных кредитов – 0,0 тысяч тенге;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сальдо по операциям с финансовыми активами – 0,0 тысяч тенге, в том числе: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приобретение финансовых активов – 0,0 тысяч тенге;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поступления от продажи финансовых активов государства – 0,0 тысяч тенге;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дефицит (профицит) бюджета – -2491,1 тысяч тенге;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ненефтяной дефицит (профицит) бюджета – 0,0 тысяч тенге;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7) финансирование дефицита (использование профицита) бюджета – 2491,1 тысяч тенге, в том числе: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поступление займов – 0,0 тысяч тенге;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погашение займов – 0,0 тысяч тенге;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используемые остатки бюджетных средств – 2491,1 тысяч тенге.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1 в редакции решения маслихата района Алтай Восточно - Казахстанской области от 04.12.2025 </w:t>
      </w:r>
      <w:r>
        <w:rPr>
          <w:rFonts w:ascii="Times New Roman"/>
          <w:b w:val="false"/>
          <w:i w:val="false"/>
          <w:color w:val="000000"/>
          <w:sz w:val="28"/>
        </w:rPr>
        <w:t>№ 36/10-VIII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с 01.01.2025).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7" w:id="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Предусмотреть в бюджете Средигорного сельского округа на 2025 год объем субвенций из районного бюджета в сумме 18910,0 тысяч тенге.</w:t>
      </w:r>
    </w:p>
    <w:bookmarkEnd w:id="2"/>
    <w:bookmarkStart w:name="z8" w:id="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Предусмотреть в бюджете Средигорного сельского округа на 2025 год объем трансфертов из районного бюджета в сумме 32789,3 тысяч тенге.</w:t>
      </w:r>
    </w:p>
    <w:bookmarkEnd w:id="3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3 в редакции решения маслихата района Алтай Восточно - Казахстанской области от 04.12.2025 </w:t>
      </w:r>
      <w:r>
        <w:rPr>
          <w:rFonts w:ascii="Times New Roman"/>
          <w:b w:val="false"/>
          <w:i w:val="false"/>
          <w:color w:val="000000"/>
          <w:sz w:val="28"/>
        </w:rPr>
        <w:t>№ 36/10-VIII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с 01.01.2025).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9" w:id="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4. Предусмотреть в бюджете Средигорного сельского округа на 2025 год объем трансфертов из республиканского бюджета в сумме 13,0 тысяч тенге.</w:t>
      </w:r>
    </w:p>
    <w:bookmarkEnd w:id="4"/>
    <w:bookmarkStart w:name="z10" w:id="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5. Настоящее решение вводится в действие с 1 января 2025 года.</w:t>
      </w:r>
    </w:p>
    <w:bookmarkEnd w:id="5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  <w:tblLayout w:type="fixed"/>
      </w:tblPr>
      <w:tblGrid>
        <w:gridCol w:w="8040"/>
        <w:gridCol w:w="4340"/>
      </w:tblGrid>
      <w:tr>
        <w:trPr>
          <w:trHeight w:val="30" w:hRule="atLeast"/>
        </w:trPr>
        <w:tc>
          <w:tcPr>
            <w:tcW w:w="80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      Председатель маслихата района Алтай 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43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Л. Гречушникова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</w:tbl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Приложение 1 к решению 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маслихата района Алтай 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от 26 декабря 2024 года 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№ 24/22-VIII</w:t>
            </w:r>
          </w:p>
        </w:tc>
      </w:tr>
    </w:tbl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Бюджет Средигорного сельского округа на 2025 год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 xml:space="preserve">
      Сноска. Приложение 1 в редакции решения маслихата района Алтай Восточно-Казахстанской области от 04.12.2025 </w:t>
      </w:r>
      <w:r>
        <w:rPr>
          <w:rFonts w:ascii="Times New Roman"/>
          <w:b w:val="false"/>
          <w:i w:val="false"/>
          <w:color w:val="ff0000"/>
          <w:sz w:val="28"/>
        </w:rPr>
        <w:t>№ 36/10-VIII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с 01.01.2025).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460"/>
        <w:gridCol w:w="2460"/>
        <w:gridCol w:w="2460"/>
        <w:gridCol w:w="2460"/>
        <w:gridCol w:w="2460"/>
      </w:tblGrid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Категория</w:t>
            </w:r>
          </w:p>
        </w:tc>
        <w:tc>
          <w:tcPr>
            <w:tcW w:w="246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Сумма (тысяч тенге)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Класс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Подкласс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I. Доходы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64579,6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Налоговые поступления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12867,3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Подоходный налог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2155,0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Индивидуальный подоходный налог 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2155,0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Налоги на собственность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4120,6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Налоги на имущество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116,1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Земельный налог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72,6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Налог на транспортные средства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3931,9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Внутренние налоги на товары, работы и услуги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6591,7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Поступления за использование природных и других ресурсов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6591,7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Неналоговые поступления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Поступления от продажи основного капитала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Поступления трансфертов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51712,3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Трансферты из вышестоящих органов государственного управления 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51712,3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Трансферты из районного (города областного значения) бюджета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51712,3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050"/>
        <w:gridCol w:w="2050"/>
        <w:gridCol w:w="2050"/>
        <w:gridCol w:w="2050"/>
        <w:gridCol w:w="2050"/>
        <w:gridCol w:w="2050"/>
      </w:tblGrid>
      <w:tr>
        <w:trPr>
          <w:trHeight w:val="30" w:hRule="atLeast"/>
        </w:trPr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Функциональная группа</w:t>
            </w:r>
          </w:p>
        </w:tc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Сумма (тысяч тенге)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Функциональная подгруппа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Администратор бюджетных программ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Программа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II. Затраты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67070,7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Государственные услуги общего характера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46666,7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Представительные, исполнительные и другие органы, выполняющие общие функции государственного управления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46666,7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Аппарат акима города районного значения, села, поселка, сельского округа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46666,7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Услуги по обеспечению деятельности акима города районного значения, села, поселка, сельского округа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36103,9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Капитальные расхода государственного органа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10562,8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07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Жилищно-коммунальное хозяйство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6776,0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Коммунальное хозяйство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892,0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Аппарат акима города районного значения, села, поселка, сельского округа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892,0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Организация водоснабжения населенных пунктов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892,0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Благоустройство населенных пунктов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5884,0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Аппарат акима города районного значения, села, поселка, сельского округа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5884,0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008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Освещение улиц в населенных пунктах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2252,0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009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Обеспечение санитарии населенных пунктов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3411,0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Благоустрйство и озеленение неселенных пунктов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221,0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Транспорт и коммуникации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13628,0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Автомобильный транспорт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13628,0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Аппарат акима города районного значения, села, поселка, сельского округа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13628,0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Обеспечение функционирования автомобильных дорог в городах районного значения, селах, поселках, сельских округах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13628,0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III.Чистое бюджетное кредитование: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Бюджетные кредиты 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Погашение бюджетных кредитов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IV. Сальдо по операциям с финансовыми активами: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Приобретение финансовых активов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Поступления от продажи финансовых активов государства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V. Дефицит (профицит) бюджета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-2491,1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VI. Ненефтяной дефицит (профицит) бюджета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VІI. Финансирование дефицита (использование профицита) бюджета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2491,1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Поступление займов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Погашение займов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Погашение займов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Аппарат акима города районного значения, села, поселка, сельского округа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056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Погашение долга аппарата акима города районного значения, села, поселка, сельского округа перед вышестоящим бюджетом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Используемые остатки бюджетных средств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2491,1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Остатки бюджетных средств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2491,1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Свободные остатки бюджетных средств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2491,1</w:t>
            </w:r>
          </w:p>
        </w:tc>
      </w:tr>
    </w:tbl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Приложение 2 к решению 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маслихата района Алтай 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от 26 декабря 2024 года 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№ 24/22 - VIII</w:t>
            </w:r>
          </w:p>
        </w:tc>
      </w:tr>
    </w:tbl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Бюджет Средигорного сельского округа на 2026 год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460"/>
        <w:gridCol w:w="2460"/>
        <w:gridCol w:w="2460"/>
        <w:gridCol w:w="2460"/>
        <w:gridCol w:w="2460"/>
      </w:tblGrid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Категория</w:t>
            </w:r>
          </w:p>
        </w:tc>
        <w:tc>
          <w:tcPr>
            <w:tcW w:w="246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Сумма (тысяч тенге)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Класс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Подкласс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I. Доходы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53772,0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Налоговые поступления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13571,0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Подоходный налог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2644,0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Индивидуальный подоходный налог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2644,0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Налоги на собственность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10927,0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Налоги на имущество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332,0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Земельный налог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92,0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Налог на транспортные средства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6261,0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Единый земельный налог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4242,0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Неналоговые поступления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Поступления от продажи основного капитала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Поступления трансфертов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40201,0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Трансферты из вышестоящих органов государственного управления 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40201,0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Трансферты из районного (города областного значения) бюджета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40201,0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050"/>
        <w:gridCol w:w="2050"/>
        <w:gridCol w:w="2050"/>
        <w:gridCol w:w="2050"/>
        <w:gridCol w:w="2050"/>
        <w:gridCol w:w="2050"/>
      </w:tblGrid>
      <w:tr>
        <w:trPr>
          <w:trHeight w:val="30" w:hRule="atLeast"/>
        </w:trPr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Функциональная группа</w:t>
            </w:r>
          </w:p>
        </w:tc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Сумма (тысяч тенге)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Функциональная подгруппа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Администратор бюджетных программ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Программа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II. Затраты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53772,0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Государственные услуги общего характера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32337,0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Представительные, исполнительные и другие органы, выполняющие общие функции государственного управления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32337,0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Аппарат акима города районного значения, села, поселка, сельского округа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32337,0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Услуги по обеспечению деятельности акима города районного значения, села, поселка, сельского округа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32337,0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07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Жилищно-коммунальное хозяйство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7676,0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Коммунальное хозяйство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5000,0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Аппарат акима города районного значения, села, поселка, сельского округа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5000,0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Организация водоснабжения населенных пунктов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5000,0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Благоустройство населенных пунктов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2676,0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Аппарат акима города районного значения, села, поселка, сельского округа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2676,0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008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Освещение улиц в населенных пунктах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1796,0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009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Обеспечение санитарии населенных пунктов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244,0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Благоустрйство и озеленение неселенных пунктов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636,0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Транспорт и коммуникации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13759,0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Автомобильный транспорт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13759,0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Аппарат акима города районного значения, села, поселка, сельского округа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13759,0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Обеспечение функционирования автомобильных дорог в городах районного значения, селах, поселках, сельских округах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13759,0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III.Чистое бюджетное кредитование: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Бюджетные кредиты 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Погашение бюджетных кредитов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IV. Сальдо по операциям с финансовыми активами: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Приобретение финансовых активов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Поступления от продажи финансовых активов государства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V. Дефицит (профицит) бюджета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VI. Финансирование дефицита (использование профицита) бюджета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Поступление займов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Погашение займов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Погашение займов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Аппарат акима города районного значения, села, поселка, сельского округа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056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Погашение долга аппарата акима города районного значения, села, поселка, сельского округа перед вышестоящим бюджетом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Используемые остатки бюджетных средств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Остатки бюджетных средств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Свободные остатки бюджетных средств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0,0</w:t>
            </w:r>
          </w:p>
        </w:tc>
      </w:tr>
    </w:tbl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Приложение 3 к решению 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маслихата района Алтай 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от 26 декабря 2024 года 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№ 24/22 - VIII</w:t>
            </w:r>
          </w:p>
        </w:tc>
      </w:tr>
    </w:tbl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Бюджет Средигорного сельского округа на 2027 год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460"/>
        <w:gridCol w:w="2460"/>
        <w:gridCol w:w="2460"/>
        <w:gridCol w:w="2460"/>
        <w:gridCol w:w="2460"/>
      </w:tblGrid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Категория</w:t>
            </w:r>
          </w:p>
        </w:tc>
        <w:tc>
          <w:tcPr>
            <w:tcW w:w="246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Сумма (тысяч тенге)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Класс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Подкласс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I. Доходы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55460,0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Налоговые поступления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14415,0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Подоходный налог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3001,0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Индивидуальный подоходный налог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3001,0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Налоги на собственность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11414,0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Налоги на имущество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336,0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Земельный налог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94,0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Налог на транспортные средства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6564,0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Единый земельный налог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4420,0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Неналоговые поступления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Поступления от продажи основного капитала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Поступления трансфертов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41045,0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Трансферты из вышестоящих органов государственного управления 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41045,0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Трансферты из районного (города областного значения) бюджета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41045,0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050"/>
        <w:gridCol w:w="2050"/>
        <w:gridCol w:w="2050"/>
        <w:gridCol w:w="2050"/>
        <w:gridCol w:w="2050"/>
        <w:gridCol w:w="2050"/>
      </w:tblGrid>
      <w:tr>
        <w:trPr>
          <w:trHeight w:val="30" w:hRule="atLeast"/>
        </w:trPr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Функциональная группа</w:t>
            </w:r>
          </w:p>
        </w:tc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Сумма (тысяч тенге)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Функциональная подгруппа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Администратор бюджетных программ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Программа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II. Затраты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55460,0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Государственные услуги общего характера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32467,0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Представительные, исполнительные и другие органы, выполняющие общие функции государственного управления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32467,0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Аппарат акима города районного значения, села, поселка, сельского округа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32467,0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Услуги по обеспечению деятельности акима города районного значения, села, поселка, сельского округа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32467,0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07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Жилищно-коммунальное хозяйство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7705,0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Коммунальное хозяйство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5000,0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Аппарат акима города районного значения, села, поселка, сельского округа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5000,0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Организация водоснабжения населенных пунктов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5000,0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Благоустройство населенных пунктов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2705,0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Аппарат акима города районного значения, села, поселка, сельского округа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2705,0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008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Освещение улиц в населенных пунктах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1825,0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009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Обеспечение санитарии населенных пунктов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244,0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Благоустрйство и озеленение неселенных пунктов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636,0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Транспорт и коммуникации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15288,0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Автомобильный транспорт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15288,0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Аппарат акима города районного значения, села, поселка, сельского округа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15288,0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Обеспечение функционирования автомобильных дорог в городах районного значения, селах, поселках, сельских округах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15288,0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III.Чистое бюджетное кредитование: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Бюджетные кредиты 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Погашение бюджетных кредитов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IV. Сальдо по операциям с финансовыми активами: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Приобретение финансовых активов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Поступления от продажи финансовых активов государства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V. Дефицит (профицит) бюджета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VI. Финансирование дефицита (использование профицита) бюджета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Поступление займов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Погашение займов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Погашение займов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Аппарат акима города районного значения, села, поселка, сельского округа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056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Погашение долга аппарата акима города районного значения, села, поселка, сельского округа перед вышестоящим бюджетом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Используемые остатки бюджетных средств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Остатки бюджетных средств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Свободные остатки бюджетных средств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0,0</w:t>
            </w: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left"/>
      </w:pPr>
      <w:r>
        <w:br/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				</w:t>
      </w:r>
    </w:p>
    <w:p>
      <w:pPr>
        <w:pStyle w:val="disclaimer"/>
      </w:pPr>
      <w:r>
        <w:rPr>
          <w:rFonts w:ascii="Times New Roman"/>
          <w:b w:val="false"/>
          <w:i w:val="false"/>
          <w:color w:val="000000"/>
        </w:rPr>
        <w:t>
					© 2012. РГП на ПХВ «Институт законодательства и правовой информации Республики Казахстан» Министерства юстиции Республики Казахстан
				</w:t>
      </w:r>
    </w:p>
    <w:sectPr>
      <w:pgSz w:w="11907" w:h="16839" w:code="9"/>
      <w:pgMar w:top="1440" w:right="1080" w:bottom="1440" w:left="1080"/>
    </w:sectPr>
  </w:body>
</w:document>
</file>

<file path=word/numbering.xml><?xml version="1.0" encoding="utf-8"?>
<w:numbering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v="urn:schemas-microsoft-com:vml" xmlns:o="urn:schemas-microsoft-com:office:office" xmlns:ns19="urn:schemas-microsoft-com:office:exce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/>
</file>

<file path=word/styles.xml><?xml version="1.0" encoding="utf-8"?>
<w:styles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v="urn:schemas-microsoft-com:vml" xmlns:o="urn:schemas-microsoft-com:office:office" xmlns:ns19="urn:schemas-microsoft-com:office:exce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basedOn w:val="DocDefaults"/>
    <w:qFormat/>
    <w:rsid w:val="004A3277"/>
    <w:rPr>
      <w:rFonts w:ascii="Times New Roman" w:hAnsi="Times New Roman" w:eastAsia="Times New Roman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="Times New Roman" w:hAnsi="Times New Roman" w:eastAsia="Times New Roman" w:cs="Times New Roman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="Times New Roman" w:hAnsi="Times New Roman" w:eastAsia="Times New Roman" w:cs="Times New Roman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="Times New Roman" w:hAnsi="Times New Roman" w:eastAsia="Times New Roman" w:cs="Times New Roman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="Times New Roman" w:hAnsi="Times New Roman" w:eastAsia="Times New Roman" w:cs="Times New Roman"/>
    </w:rPr>
  </w:style>
  <w:style w:type="character" w:styleId="DefaultParagraphFont" w:default="true">
    <w:name w:val="Default Paragraph Font"/>
    <w:uiPriority w:val="1"/>
    <w:semiHidden/>
    <w:unhideWhenUsed/>
    <w:rPr>
      <w:rFonts w:ascii="Times New Roman" w:hAnsi="Times New Roman" w:eastAsia="Times New Roman" w:cs="Times New Roman"/>
    </w:rPr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  <w:rPr>
      <w:rFonts w:ascii="Times New Roman" w:hAnsi="Times New Roman" w:eastAsia="Times New Roman" w:cs="Times New Roman"/>
    </w:rPr>
  </w:style>
  <w:style w:type="character" w:styleId="HeaderChar" w:customStyle="true">
    <w:name w:val="Header Char"/>
    <w:basedOn w:val="DefaultParagraphFont"/>
    <w:link w:val="Header"/>
    <w:uiPriority w:val="99"/>
    <w:rsid w:val="00841CD9"/>
    <w:rPr>
      <w:rFonts w:ascii="Times New Roman" w:hAnsi="Times New Roman" w:eastAsia="Times New Roman" w:cs="Times New Roman"/>
    </w:rPr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="Times New Roman" w:hAnsi="Times New Roman" w:eastAsia="Times New Roman" w:cs="Times New Roman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="Times New Roman" w:hAnsi="Times New Roman" w:eastAsia="Times New Roman" w:cs="Times New Roman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="Times New Roman" w:hAnsi="Times New Roman" w:eastAsia="Times New Roman" w:cs="Times New Roman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="Times New Roman" w:hAnsi="Times New Roman" w:eastAsia="Times New Roman" w:cs="Times New Roman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  <w:rPr>
      <w:rFonts w:ascii="Times New Roman" w:hAnsi="Times New Roman" w:eastAsia="Times New Roman" w:cs="Times New Roman"/>
    </w:r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="Times New Roman" w:hAnsi="Times New Roman" w:eastAsia="Times New Roman" w:cs="Times New Roman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="Times New Roman" w:hAnsi="Times New Roman" w:eastAsia="Times New Roman" w:cs="Times New Roman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="Times New Roman" w:hAnsi="Times New Roman" w:eastAsia="Times New Roman" w:cs="Times New Roman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="Times New Roman" w:hAnsi="Times New Roman" w:eastAsia="Times New Roman" w:cs="Times New Roman"/>
    </w:rPr>
  </w:style>
  <w:style w:type="character" w:styleId="Emphasis">
    <w:name w:val="Emphasis"/>
    <w:basedOn w:val="DefaultParagraphFont"/>
    <w:uiPriority w:val="20"/>
    <w:qFormat/>
    <w:rsid w:val="00D1197D"/>
    <w:rPr>
      <w:rFonts w:ascii="Times New Roman" w:hAnsi="Times New Roman" w:eastAsia="Times New Roman" w:cs="Times New Roman"/>
    </w:rPr>
  </w:style>
  <w:style w:type="character" w:styleId="Hyperlink">
    <w:name w:val="Hyperlink"/>
    <w:basedOn w:val="DefaultParagraphFont"/>
    <w:uiPriority w:val="99"/>
    <w:unhideWhenUsed/>
    <w:rPr>
      <w:rFonts w:ascii="Times New Roman" w:hAnsi="Times New Roman" w:eastAsia="Times New Roman" w:cs="Times New Roman"/>
    </w:rPr>
  </w:style>
  <w:style w:type="table" w:styleId="TableGrid">
    <w:name w:val="Table Grid"/>
    <w:basedOn w:val="TableNormal"/>
    <w:uiPriority w:val="59"/>
    <w:pPr>
      <w:spacing w:after="0" w:line="240" w:lineRule="auto"/>
    </w:pPr>
    <w:rPr>
      <w:rFonts w:ascii="Times New Roman" w:hAnsi="Times New Roman" w:eastAsia="Times New Roman" w:cs="Times New Roman"/>
    </w:r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rPr>
      <w:rFonts w:ascii="Times New Roman" w:hAnsi="Times New Roman" w:eastAsia="Times New Roman" w:cs="Times New Roma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rFonts w:ascii="Times New Roman" w:hAnsi="Times New Roman" w:eastAsia="Times New Roman" w:cs="Times New Roman"/>
    </w:rPr>
  </w:style>
  <w:style w:type="paragraph" w:styleId="disclaimer">
    <w:name w:val="disclaimer"/>
    <w:basedOn w:val="Normal"/>
    <w:pPr>
      <w:jc w:val="center"/>
    </w:pPr>
    <w:rPr>
      <w:sz w:val="18"/>
      <w:szCs w:val="18"/>
    </w:rPr>
  </w:style>
  <w:style w:type="paragraph" w:styleId="DocDefaults">
    <w:name w:val="DocDefaults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en-US" w:eastAsia="en-US" w:bidi="ar-SA"/>
    </w:rPr>
  </w:style>
</w:styles>
</file>

<file path=word/_rels/document.xml.rels><?xml version="1.0" encoding="UTF-8" standalone="yes"?><Relationships xmlns="http://schemas.openxmlformats.org/package/2006/relationships"><Relationship Target="styles.xml" Type="http://schemas.openxmlformats.org/officeDocument/2006/relationships/styles" Id="rId1"/><Relationship Target="numbering.xml" Type="http://schemas.openxmlformats.org/officeDocument/2006/relationships/numbering" Id="rId2"/><Relationship Target="media/document_image_rId3.png" Type="http://schemas.openxmlformats.org/officeDocument/2006/relationships/image" Id="rId3"/></Relationships>
</file>

<file path=docProps/app.xml><?xml version="1.0" encoding="utf-8"?>
<properties:Properties xmlns:vt="http://schemas.openxmlformats.org/officeDocument/2006/docPropsVTypes" xmlns:properties="http://schemas.openxmlformats.org/officeDocument/2006/extended-properti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