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b1ccb" w14:textId="4db1c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инвестирования финансовых инструментов и иного имущества, входящего в состав активов инвестиционного фонда, и перечня финансовых инструментов, которые могут входить в состав активов акционерных и паевых инвестиционных фондов</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24 февраля 2012 года № 60. Зарегистрировано в Министерстве юстиции Республики Казахстан 10 апреля 2012 года № 7540.</w:t>
      </w:r>
    </w:p>
    <w:p>
      <w:pPr>
        <w:spacing w:after="0"/>
        <w:ind w:left="0"/>
        <w:jc w:val="both"/>
      </w:pPr>
      <w:bookmarkStart w:name="z1" w:id="0"/>
      <w:r>
        <w:rPr>
          <w:rFonts w:ascii="Times New Roman"/>
          <w:b w:val="false"/>
          <w:i w:val="false"/>
          <w:color w:val="ff0000"/>
          <w:sz w:val="28"/>
        </w:rPr>
        <w:t xml:space="preserve">
      Сноска. Заголовок приказа в редакции постановления Правления Национального Банка РК от 28.10.2016 </w:t>
      </w:r>
      <w:r>
        <w:rPr>
          <w:rFonts w:ascii="Times New Roman"/>
          <w:b w:val="false"/>
          <w:i w:val="false"/>
          <w:color w:val="ff0000"/>
          <w:sz w:val="28"/>
        </w:rPr>
        <w:t>№ 259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37 Закона Республики Казахстан "Об инвестиционных и венчурных фондах" (далее - Закон) Правление Национального Банка Республики Казахстан </w:t>
      </w:r>
      <w:r>
        <w:rPr>
          <w:rFonts w:ascii="Times New Roman"/>
          <w:b/>
          <w:i w:val="false"/>
          <w:color w:val="000000"/>
          <w:sz w:val="28"/>
        </w:rPr>
        <w:t>ПОСТАНОВЛЯЕТ: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31.12.2025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Утвердить:</w:t>
      </w:r>
    </w:p>
    <w:bookmarkEnd w:id="1"/>
    <w:bookmarkStart w:name="z3" w:id="2"/>
    <w:p>
      <w:pPr>
        <w:spacing w:after="0"/>
        <w:ind w:left="0"/>
        <w:jc w:val="both"/>
      </w:pPr>
      <w:r>
        <w:rPr>
          <w:rFonts w:ascii="Times New Roman"/>
          <w:b w:val="false"/>
          <w:i w:val="false"/>
          <w:color w:val="000000"/>
          <w:sz w:val="28"/>
        </w:rPr>
        <w:t xml:space="preserve">
      1) Правила инвестирования финансовых инструментов и иного имущества, входящего в состав активов инвестиционного фонда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2"/>
    <w:bookmarkStart w:name="z4" w:id="3"/>
    <w:p>
      <w:pPr>
        <w:spacing w:after="0"/>
        <w:ind w:left="0"/>
        <w:jc w:val="both"/>
      </w:pPr>
      <w:r>
        <w:rPr>
          <w:rFonts w:ascii="Times New Roman"/>
          <w:b w:val="false"/>
          <w:i w:val="false"/>
          <w:color w:val="000000"/>
          <w:sz w:val="28"/>
        </w:rPr>
        <w:t xml:space="preserve">
      2) Перечень финансовых инструментов, которые могут входить в состав активов акционерных и паевых инвестиционных фондов,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 постановлением Правления Национального Банка РК от 28.10.2016 </w:t>
      </w:r>
      <w:r>
        <w:rPr>
          <w:rFonts w:ascii="Times New Roman"/>
          <w:b w:val="false"/>
          <w:i w:val="false"/>
          <w:color w:val="000000"/>
          <w:sz w:val="28"/>
        </w:rPr>
        <w:t>№ 259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21 августа 2004 года № 258 "Об утверждении Правил инвестирования активов инвестиционного фонда за пределами Республики Казахстан" (зарегистрированное в Реестре государственной регистрации нормативных правовых актов под № 3131).</w:t>
      </w:r>
    </w:p>
    <w:bookmarkEnd w:id="4"/>
    <w:bookmarkStart w:name="z6" w:id="5"/>
    <w:p>
      <w:pPr>
        <w:spacing w:after="0"/>
        <w:ind w:left="0"/>
        <w:jc w:val="both"/>
      </w:pPr>
      <w:r>
        <w:rPr>
          <w:rFonts w:ascii="Times New Roman"/>
          <w:b w:val="false"/>
          <w:i w:val="false"/>
          <w:color w:val="000000"/>
          <w:sz w:val="28"/>
        </w:rPr>
        <w:t>
      3. Управляющим компаниям в течение трех месяцев со дня введения в действие настоящего постановления привести свою деятельность в соответствие с требованиями настоящего постановления.</w:t>
      </w:r>
    </w:p>
    <w:bookmarkEnd w:id="5"/>
    <w:bookmarkStart w:name="z7" w:id="6"/>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Национального Банка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Марченко</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февраля 2012 года № 60</w:t>
            </w:r>
          </w:p>
        </w:tc>
      </w:tr>
    </w:tbl>
    <w:bookmarkStart w:name="z9" w:id="7"/>
    <w:p>
      <w:pPr>
        <w:spacing w:after="0"/>
        <w:ind w:left="0"/>
        <w:jc w:val="left"/>
      </w:pPr>
      <w:r>
        <w:rPr>
          <w:rFonts w:ascii="Times New Roman"/>
          <w:b/>
          <w:i w:val="false"/>
          <w:color w:val="000000"/>
        </w:rPr>
        <w:t xml:space="preserve"> Правила</w:t>
      </w:r>
      <w:r>
        <w:br/>
      </w:r>
      <w:r>
        <w:rPr>
          <w:rFonts w:ascii="Times New Roman"/>
          <w:b/>
          <w:i w:val="false"/>
          <w:color w:val="000000"/>
        </w:rPr>
        <w:t>инвестирования финансовых инструментов и иного имущества,</w:t>
      </w:r>
      <w:r>
        <w:br/>
      </w:r>
      <w:r>
        <w:rPr>
          <w:rFonts w:ascii="Times New Roman"/>
          <w:b/>
          <w:i w:val="false"/>
          <w:color w:val="000000"/>
        </w:rPr>
        <w:t>входящего в состав активов инвестиционного фонда</w:t>
      </w:r>
    </w:p>
    <w:bookmarkEnd w:id="7"/>
    <w:p>
      <w:pPr>
        <w:spacing w:after="0"/>
        <w:ind w:left="0"/>
        <w:jc w:val="both"/>
      </w:pPr>
      <w:r>
        <w:rPr>
          <w:rFonts w:ascii="Times New Roman"/>
          <w:b w:val="false"/>
          <w:i w:val="false"/>
          <w:color w:val="ff0000"/>
          <w:sz w:val="28"/>
        </w:rPr>
        <w:t xml:space="preserve">
      Сноска. В заголовок внесено изменение на государственном языке, текст на русском языке не меняется, в соответствии с постановлением Правления Национального Банка РК от 28.10.2016 </w:t>
      </w:r>
      <w:r>
        <w:rPr>
          <w:rFonts w:ascii="Times New Roman"/>
          <w:b w:val="false"/>
          <w:i w:val="false"/>
          <w:color w:val="ff0000"/>
          <w:sz w:val="28"/>
        </w:rPr>
        <w:t>№ 259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 w:id="8"/>
    <w:p>
      <w:pPr>
        <w:spacing w:after="0"/>
        <w:ind w:left="0"/>
        <w:jc w:val="both"/>
      </w:pPr>
      <w:r>
        <w:rPr>
          <w:rFonts w:ascii="Times New Roman"/>
          <w:b w:val="false"/>
          <w:i w:val="false"/>
          <w:color w:val="000000"/>
          <w:sz w:val="28"/>
        </w:rPr>
        <w:t xml:space="preserve">
      Настоящие Правила инвестирования финансовых инструментов и иного имущества, входящего в состав активов инвестиционного фонда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и устанавливают порядок инвестирования финансовых инструментов и иного имущества, входящего в состав активов акционерных и паевых инвестиционных фондов.</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22.12.2023 </w:t>
      </w:r>
      <w:r>
        <w:rPr>
          <w:rFonts w:ascii="Times New Roman"/>
          <w:b w:val="false"/>
          <w:i w:val="false"/>
          <w:color w:val="00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1. Для целей Правил используются следующие понятия:</w:t>
      </w:r>
    </w:p>
    <w:bookmarkEnd w:id="9"/>
    <w:bookmarkStart w:name="z605" w:id="10"/>
    <w:p>
      <w:pPr>
        <w:spacing w:after="0"/>
        <w:ind w:left="0"/>
        <w:jc w:val="both"/>
      </w:pPr>
      <w:r>
        <w:rPr>
          <w:rFonts w:ascii="Times New Roman"/>
          <w:b w:val="false"/>
          <w:i w:val="false"/>
          <w:color w:val="000000"/>
          <w:sz w:val="28"/>
        </w:rPr>
        <w:t>
      1) котировка - ценовые предложения контрпартнеров по финансовым инструментам, полученные посредством почтовой, электронной или факсимильной связи;</w:t>
      </w:r>
    </w:p>
    <w:bookmarkEnd w:id="10"/>
    <w:bookmarkStart w:name="z606" w:id="11"/>
    <w:p>
      <w:pPr>
        <w:spacing w:after="0"/>
        <w:ind w:left="0"/>
        <w:jc w:val="both"/>
      </w:pPr>
      <w:r>
        <w:rPr>
          <w:rFonts w:ascii="Times New Roman"/>
          <w:b w:val="false"/>
          <w:i w:val="false"/>
          <w:color w:val="000000"/>
          <w:sz w:val="28"/>
        </w:rPr>
        <w:t>
      2) управляющая компания - профессиональный участник рынка ценных бумаг, осуществляющий деятельность по управлению инвестиционным портфелем на основании лицензии, выданной уполномоченным органом по регулированию, контролю и надзору финансового рынка и финансовых организаций (далее - уполномоченный орган);</w:t>
      </w:r>
    </w:p>
    <w:bookmarkEnd w:id="11"/>
    <w:bookmarkStart w:name="z607" w:id="12"/>
    <w:p>
      <w:pPr>
        <w:spacing w:after="0"/>
        <w:ind w:left="0"/>
        <w:jc w:val="both"/>
      </w:pPr>
      <w:r>
        <w:rPr>
          <w:rFonts w:ascii="Times New Roman"/>
          <w:b w:val="false"/>
          <w:i w:val="false"/>
          <w:color w:val="000000"/>
          <w:sz w:val="28"/>
        </w:rPr>
        <w:t>
      3) биржевой паевой инвестиционный фонд (Exchange Traded Fund) (ETF) (Эксчейндж Трэйдэд Фандс) - интервальный паевой инвестиционный фонд индексного инвестирования, паи которого обращаются на фондовой бирже;</w:t>
      </w:r>
    </w:p>
    <w:bookmarkEnd w:id="12"/>
    <w:bookmarkStart w:name="z608" w:id="13"/>
    <w:p>
      <w:pPr>
        <w:spacing w:after="0"/>
        <w:ind w:left="0"/>
        <w:jc w:val="both"/>
      </w:pPr>
      <w:r>
        <w:rPr>
          <w:rFonts w:ascii="Times New Roman"/>
          <w:b w:val="false"/>
          <w:i w:val="false"/>
          <w:color w:val="000000"/>
          <w:sz w:val="28"/>
        </w:rPr>
        <w:t xml:space="preserve">
      4) инвестиционный фонд – акционерный или паевой инвестиционный фонд, созданный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13"/>
    <w:bookmarkStart w:name="z609" w:id="14"/>
    <w:p>
      <w:pPr>
        <w:spacing w:after="0"/>
        <w:ind w:left="0"/>
        <w:jc w:val="both"/>
      </w:pPr>
      <w:r>
        <w:rPr>
          <w:rFonts w:ascii="Times New Roman"/>
          <w:b w:val="false"/>
          <w:i w:val="false"/>
          <w:color w:val="000000"/>
          <w:sz w:val="28"/>
        </w:rPr>
        <w:t>
      5) контрпартнер - юридическое лицо, обладающее правом заключать сделки с финансовыми инструментами в соответствии с законодательством Республики Казахстан или иностранного государства;</w:t>
      </w:r>
    </w:p>
    <w:bookmarkEnd w:id="14"/>
    <w:bookmarkStart w:name="z610" w:id="15"/>
    <w:p>
      <w:pPr>
        <w:spacing w:after="0"/>
        <w:ind w:left="0"/>
        <w:jc w:val="both"/>
      </w:pPr>
      <w:r>
        <w:rPr>
          <w:rFonts w:ascii="Times New Roman"/>
          <w:b w:val="false"/>
          <w:i w:val="false"/>
          <w:color w:val="000000"/>
          <w:sz w:val="28"/>
        </w:rPr>
        <w:t>
      6) международная финансовая организация – организация, имеющая международный статус, созданная и действующая на основании международного договора (соглашения) либо устава;</w:t>
      </w:r>
    </w:p>
    <w:bookmarkEnd w:id="15"/>
    <w:bookmarkStart w:name="z611" w:id="16"/>
    <w:p>
      <w:pPr>
        <w:spacing w:after="0"/>
        <w:ind w:left="0"/>
        <w:jc w:val="both"/>
      </w:pPr>
      <w:r>
        <w:rPr>
          <w:rFonts w:ascii="Times New Roman"/>
          <w:b w:val="false"/>
          <w:i w:val="false"/>
          <w:color w:val="000000"/>
          <w:sz w:val="28"/>
        </w:rPr>
        <w:t>
      7) пай Exchange Traded Funds (ETF) (Эксчейндж Трэйдэд Фандс) – гибридный торговый инструмент, ценообразование по которому привязано к тому или иному классу активов (акции, облигации, товарные продукты) либо индексам;</w:t>
      </w:r>
    </w:p>
    <w:bookmarkEnd w:id="16"/>
    <w:bookmarkStart w:name="z612" w:id="17"/>
    <w:p>
      <w:pPr>
        <w:spacing w:after="0"/>
        <w:ind w:left="0"/>
        <w:jc w:val="both"/>
      </w:pPr>
      <w:r>
        <w:rPr>
          <w:rFonts w:ascii="Times New Roman"/>
          <w:b w:val="false"/>
          <w:i w:val="false"/>
          <w:color w:val="000000"/>
          <w:sz w:val="28"/>
        </w:rPr>
        <w:t>
      8) principal protected notes (принципл протектед ноутс) – долговые ценные бумаги, по которым установлена гарантия эмитента по полному возврату суммы основного долга.</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22.12.2023 </w:t>
      </w:r>
      <w:r>
        <w:rPr>
          <w:rFonts w:ascii="Times New Roman"/>
          <w:b w:val="false"/>
          <w:i w:val="false"/>
          <w:color w:val="00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18"/>
    <w:p>
      <w:pPr>
        <w:spacing w:after="0"/>
        <w:ind w:left="0"/>
        <w:jc w:val="both"/>
      </w:pPr>
      <w:r>
        <w:rPr>
          <w:rFonts w:ascii="Times New Roman"/>
          <w:b w:val="false"/>
          <w:i w:val="false"/>
          <w:color w:val="000000"/>
          <w:sz w:val="28"/>
        </w:rPr>
        <w:t xml:space="preserve">
      2. Управляющая компания осуществляет инвестиционное управление активами инвестиционного фонда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настоящих Правил, </w:t>
      </w:r>
      <w:r>
        <w:rPr>
          <w:rFonts w:ascii="Times New Roman"/>
          <w:b w:val="false"/>
          <w:i w:val="false"/>
          <w:color w:val="000000"/>
          <w:sz w:val="28"/>
        </w:rPr>
        <w:t>постановления</w:t>
      </w:r>
      <w:r>
        <w:rPr>
          <w:rFonts w:ascii="Times New Roman"/>
          <w:b w:val="false"/>
          <w:i w:val="false"/>
          <w:color w:val="000000"/>
          <w:sz w:val="28"/>
        </w:rPr>
        <w:t xml:space="preserve"> Правления Национального Банка Республики Казахстан от 3 февраля 2014 года № 10 "Об утверждении Правил осуществления деятельности по управлению инвестиционным портфелем", зарегистрированного в Реестре государственной регистрации нормативных правовых актов под № 9248, </w:t>
      </w:r>
      <w:r>
        <w:rPr>
          <w:rFonts w:ascii="Times New Roman"/>
          <w:b w:val="false"/>
          <w:i w:val="false"/>
          <w:color w:val="000000"/>
          <w:sz w:val="28"/>
        </w:rPr>
        <w:t>постановления</w:t>
      </w:r>
      <w:r>
        <w:rPr>
          <w:rFonts w:ascii="Times New Roman"/>
          <w:b w:val="false"/>
          <w:i w:val="false"/>
          <w:color w:val="000000"/>
          <w:sz w:val="28"/>
        </w:rPr>
        <w:t xml:space="preserve"> Правления Национального Банка Республики Казахстан от 27 августа 2013 года № 214 "Об утверждении Правил формирования системы управления рисками и внутреннего контроля для организаций, осуществляющих брокерскую и дилерскую деятельность на рынке ценных бумаг, деятельность по управлению инвестиционным портфелем", зарегистрированного в Реестре государственной регистрации нормативных правовых актов под № 8796, и инвестиционной декларации инвестиционного фонда.</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постановления Правления Национального Банка РК от 19.12.2015 </w:t>
      </w:r>
      <w:r>
        <w:rPr>
          <w:rFonts w:ascii="Times New Roman"/>
          <w:b w:val="false"/>
          <w:i w:val="false"/>
          <w:color w:val="000000"/>
          <w:sz w:val="28"/>
        </w:rPr>
        <w:t>№ 250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9"/>
    <w:p>
      <w:pPr>
        <w:spacing w:after="0"/>
        <w:ind w:left="0"/>
        <w:jc w:val="both"/>
      </w:pPr>
      <w:r>
        <w:rPr>
          <w:rFonts w:ascii="Times New Roman"/>
          <w:b w:val="false"/>
          <w:i w:val="false"/>
          <w:color w:val="000000"/>
          <w:sz w:val="28"/>
        </w:rPr>
        <w:t>
      3. Управляющая компания заключает сделки за счет активов инвестиционных фондов, принятых в инвестиционное управление, самостоятельно при наличии лицензии на осуществление брокерской и (или) дилерской деятельности либо с использованием услуг юридических лиц, обладающих правом заключать сделки с финансовыми инструментами в соответствии с законодательством Республики Казахстан или иностранного государства (при заключении сделок за счет активов инвестиционного фонда за пределами Республики Казахстан).</w:t>
      </w:r>
    </w:p>
    <w:bookmarkEnd w:id="19"/>
    <w:p>
      <w:pPr>
        <w:spacing w:after="0"/>
        <w:ind w:left="0"/>
        <w:jc w:val="both"/>
      </w:pPr>
      <w:r>
        <w:rPr>
          <w:rFonts w:ascii="Times New Roman"/>
          <w:b w:val="false"/>
          <w:i w:val="false"/>
          <w:color w:val="000000"/>
          <w:sz w:val="28"/>
        </w:rPr>
        <w:t>
      Сделки за счет активов инвестиционного фонда, принятых управляющей компанией в инвестиционное управление, с негосударственными ценными бумагами на первичном неорганизованном рынке (при их размещении), а также с ценными бумагами, не допущенными к обращению на организованном рынке ценных бумаг, и долями участия в уставном капитале юридических лиц совершаются управляющей компанией самостоятельно.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в редакции постановления Правления Национального Банка РК от 27.08.2013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4. При заключении сделок с финансовыми инструментами управляющая компания руководствуется требованиями, установленными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 февраля 2014 года № 9 "Об утверждении Правил осуществления брокерской и (или) дилерской деятельности на рынке ценных бумаг, порядка проведения брокером и (или) дилером банковских операций" (зарегистрированным в Реестре государственной регистрации нормативных правовых актов под № 9249.)</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Агентства РК по регулированию и развитию финансового рынка от 22.12.2023 </w:t>
      </w:r>
      <w:r>
        <w:rPr>
          <w:rFonts w:ascii="Times New Roman"/>
          <w:b w:val="false"/>
          <w:i w:val="false"/>
          <w:color w:val="00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5. Если договором по управлению инвестиционным портфелем инвестиционного фонда предусмотрена возможность передачи управляющей компанией исполнения условий указанного договора третьему лицу, то договором также предусматривается:</w:t>
      </w:r>
    </w:p>
    <w:bookmarkEnd w:id="21"/>
    <w:bookmarkStart w:name="z24" w:id="22"/>
    <w:p>
      <w:pPr>
        <w:spacing w:after="0"/>
        <w:ind w:left="0"/>
        <w:jc w:val="both"/>
      </w:pPr>
      <w:r>
        <w:rPr>
          <w:rFonts w:ascii="Times New Roman"/>
          <w:b w:val="false"/>
          <w:i w:val="false"/>
          <w:color w:val="000000"/>
          <w:sz w:val="28"/>
        </w:rPr>
        <w:t>
      1) ответственность управляющей компании по обязательствам перед акционерным инвестиционным фондом либо держателями паев паевого инвестиционного фонда;</w:t>
      </w:r>
    </w:p>
    <w:bookmarkEnd w:id="22"/>
    <w:bookmarkStart w:name="z25" w:id="23"/>
    <w:p>
      <w:pPr>
        <w:spacing w:after="0"/>
        <w:ind w:left="0"/>
        <w:jc w:val="both"/>
      </w:pPr>
      <w:r>
        <w:rPr>
          <w:rFonts w:ascii="Times New Roman"/>
          <w:b w:val="false"/>
          <w:i w:val="false"/>
          <w:color w:val="000000"/>
          <w:sz w:val="28"/>
        </w:rPr>
        <w:t>
      2) условие управления активами инвестиционного фонда с соблюдением настоящих Правил и инвестиционной декларации данного инвестиционного фонда.</w:t>
      </w:r>
    </w:p>
    <w:bookmarkEnd w:id="23"/>
    <w:bookmarkStart w:name="z26" w:id="24"/>
    <w:p>
      <w:pPr>
        <w:spacing w:after="0"/>
        <w:ind w:left="0"/>
        <w:jc w:val="both"/>
      </w:pPr>
      <w:r>
        <w:rPr>
          <w:rFonts w:ascii="Times New Roman"/>
          <w:b w:val="false"/>
          <w:i w:val="false"/>
          <w:color w:val="000000"/>
          <w:sz w:val="28"/>
        </w:rPr>
        <w:t xml:space="preserve">
      6. Управляющая компания инвестирует активы открытых и интервальных паевых инвестиционных фондов и фондов недвижимости, находящиеся в инвестиционном управлении, в перечень финансовых инструментов, которые могут входить в состав активов акционерных и паевых инвестиционных фондов, определенный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37 Закона.</w:t>
      </w:r>
    </w:p>
    <w:bookmarkEnd w:id="24"/>
    <w:bookmarkStart w:name="z27" w:id="25"/>
    <w:p>
      <w:pPr>
        <w:spacing w:after="0"/>
        <w:ind w:left="0"/>
        <w:jc w:val="both"/>
      </w:pPr>
      <w:r>
        <w:rPr>
          <w:rFonts w:ascii="Times New Roman"/>
          <w:b w:val="false"/>
          <w:i w:val="false"/>
          <w:color w:val="000000"/>
          <w:sz w:val="28"/>
        </w:rPr>
        <w:t>
      Активы акционерных инвестиционных фондов (за исключением фондов недвижимости) и закрытых инвестиционных фондов, находящиеся в инвестиционном управлении у управляющей компании, инвестируются в перечень объектов инвестирования, определенный инвестиционной декларацией инвестиционного фонда.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постановлением Правления Национального Банка РК от 28.10.2016 </w:t>
      </w:r>
      <w:r>
        <w:rPr>
          <w:rFonts w:ascii="Times New Roman"/>
          <w:b w:val="false"/>
          <w:i w:val="false"/>
          <w:color w:val="000000"/>
          <w:sz w:val="28"/>
        </w:rPr>
        <w:t>№ 259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7. Заключение сделок с производными финансовыми инструментами за счет активов фондов недвижимости, открытых и интервальных паевых инвестиционных фондов допускается для целей хеджирования при условии, что данные производные финансовые инструменты предусмотрены перечнем финансовых инструментов, которые могут входить в состав активов акционерных и паевых инвестиционных фондов, определенным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37 Закона.</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в редакции постановления Правления Национального Банка РК от 19.12.2015 </w:t>
      </w:r>
      <w:r>
        <w:rPr>
          <w:rFonts w:ascii="Times New Roman"/>
          <w:b w:val="false"/>
          <w:i w:val="false"/>
          <w:color w:val="000000"/>
          <w:sz w:val="28"/>
        </w:rPr>
        <w:t>№ 250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8. Управляющая компания осуществляет инвестирование активов инвестиционного фонда при соблюдении лимитов инвестирования, установленных Правилами и инвестиционной декларацией инвестиционного фонда.</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в редакции постановления Правления Агентства РК по регулированию и развитию финансового рынка от 12.02.2021 </w:t>
      </w:r>
      <w:r>
        <w:rPr>
          <w:rFonts w:ascii="Times New Roman"/>
          <w:b w:val="false"/>
          <w:i w:val="false"/>
          <w:color w:val="000000"/>
          <w:sz w:val="28"/>
        </w:rPr>
        <w:t>№ 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6" w:id="28"/>
    <w:p>
      <w:pPr>
        <w:spacing w:after="0"/>
        <w:ind w:left="0"/>
        <w:jc w:val="both"/>
      </w:pPr>
      <w:r>
        <w:rPr>
          <w:rFonts w:ascii="Times New Roman"/>
          <w:b w:val="false"/>
          <w:i w:val="false"/>
          <w:color w:val="000000"/>
          <w:sz w:val="28"/>
        </w:rPr>
        <w:t xml:space="preserve">
      8-1. Суммарный размер инвестиций за счет активов инвестиционного фонда в финансовые инструменты, выпущенные (предоставленные) одним лицом и его аффилированными лицами, за исключением финансовых инструментов, суммарный размер инвестиций в которые за счет активов инвестиционного фонда установлен </w:t>
      </w:r>
      <w:r>
        <w:rPr>
          <w:rFonts w:ascii="Times New Roman"/>
          <w:b w:val="false"/>
          <w:i w:val="false"/>
          <w:color w:val="000000"/>
          <w:sz w:val="28"/>
        </w:rPr>
        <w:t>пунктом 8-2</w:t>
      </w:r>
      <w:r>
        <w:rPr>
          <w:rFonts w:ascii="Times New Roman"/>
          <w:b w:val="false"/>
          <w:i w:val="false"/>
          <w:color w:val="000000"/>
          <w:sz w:val="28"/>
        </w:rPr>
        <w:t xml:space="preserve"> Правил, не превышает:</w:t>
      </w:r>
    </w:p>
    <w:bookmarkEnd w:id="28"/>
    <w:bookmarkStart w:name="z597" w:id="29"/>
    <w:p>
      <w:pPr>
        <w:spacing w:after="0"/>
        <w:ind w:left="0"/>
        <w:jc w:val="both"/>
      </w:pPr>
      <w:r>
        <w:rPr>
          <w:rFonts w:ascii="Times New Roman"/>
          <w:b w:val="false"/>
          <w:i w:val="false"/>
          <w:color w:val="000000"/>
          <w:sz w:val="28"/>
        </w:rPr>
        <w:t>
      1) двадцать процентов стоимости чистых активов для открытого или интервального паевого инвестиционного фонда;</w:t>
      </w:r>
    </w:p>
    <w:bookmarkEnd w:id="29"/>
    <w:bookmarkStart w:name="z598" w:id="30"/>
    <w:p>
      <w:pPr>
        <w:spacing w:after="0"/>
        <w:ind w:left="0"/>
        <w:jc w:val="both"/>
      </w:pPr>
      <w:r>
        <w:rPr>
          <w:rFonts w:ascii="Times New Roman"/>
          <w:b w:val="false"/>
          <w:i w:val="false"/>
          <w:color w:val="000000"/>
          <w:sz w:val="28"/>
        </w:rPr>
        <w:t>
      2) тридцать процентов стоимости чистых активов для акционерного инвестиционного фонда и закрытого паевого инвестиционного фонда;</w:t>
      </w:r>
    </w:p>
    <w:bookmarkEnd w:id="30"/>
    <w:bookmarkStart w:name="z599" w:id="31"/>
    <w:p>
      <w:pPr>
        <w:spacing w:after="0"/>
        <w:ind w:left="0"/>
        <w:jc w:val="both"/>
      </w:pPr>
      <w:r>
        <w:rPr>
          <w:rFonts w:ascii="Times New Roman"/>
          <w:b w:val="false"/>
          <w:i w:val="false"/>
          <w:color w:val="000000"/>
          <w:sz w:val="28"/>
        </w:rPr>
        <w:t>
      3) сто процентов стоимости активов открытого, интервального и закрытого паевого инвестиционного фонда и акционерного инвестиционного фонда в отношении денег, ценных бумаг, являющихся предметом операции обратного репо, заключенной с участием центрального контрагента, государственных ценных бумаг Республики Казахстан, паев Exchange Traded Funds (Эксчейндж Трэйдэд Фандс), ценообразование по которым привязано к фондовым индексам.</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8-1 в соответствии с постановлением Правления Агентства РК по регулированию и развитию финансового рынка от 12.02.2021 </w:t>
      </w:r>
      <w:r>
        <w:rPr>
          <w:rFonts w:ascii="Times New Roman"/>
          <w:b w:val="false"/>
          <w:i w:val="false"/>
          <w:color w:val="000000"/>
          <w:sz w:val="28"/>
        </w:rPr>
        <w:t>№ 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0" w:id="32"/>
    <w:p>
      <w:pPr>
        <w:spacing w:after="0"/>
        <w:ind w:left="0"/>
        <w:jc w:val="both"/>
      </w:pPr>
      <w:r>
        <w:rPr>
          <w:rFonts w:ascii="Times New Roman"/>
          <w:b w:val="false"/>
          <w:i w:val="false"/>
          <w:color w:val="000000"/>
          <w:sz w:val="28"/>
        </w:rPr>
        <w:t>
      8-2. Суммарный размер инвестиций за счет активов инвестиционного фонда в финансовые инструменты, выпущенные (предоставленные) одним лицом, более пятидесяти процентов голосующих акций которого принадлежат государству или национальному управляющему холдингу, или национальному холдингу и его аффилированным лицам, осуществляющим деятельность в одной отрасли национальной экономики, не превышает:</w:t>
      </w:r>
    </w:p>
    <w:bookmarkEnd w:id="32"/>
    <w:bookmarkStart w:name="z601" w:id="33"/>
    <w:p>
      <w:pPr>
        <w:spacing w:after="0"/>
        <w:ind w:left="0"/>
        <w:jc w:val="both"/>
      </w:pPr>
      <w:r>
        <w:rPr>
          <w:rFonts w:ascii="Times New Roman"/>
          <w:b w:val="false"/>
          <w:i w:val="false"/>
          <w:color w:val="000000"/>
          <w:sz w:val="28"/>
        </w:rPr>
        <w:t>
      1) тридцать процентов стоимости чистых активов для открытого или интервального паевого инвестиционного фонда;</w:t>
      </w:r>
    </w:p>
    <w:bookmarkEnd w:id="33"/>
    <w:bookmarkStart w:name="z602" w:id="34"/>
    <w:p>
      <w:pPr>
        <w:spacing w:after="0"/>
        <w:ind w:left="0"/>
        <w:jc w:val="both"/>
      </w:pPr>
      <w:r>
        <w:rPr>
          <w:rFonts w:ascii="Times New Roman"/>
          <w:b w:val="false"/>
          <w:i w:val="false"/>
          <w:color w:val="000000"/>
          <w:sz w:val="28"/>
        </w:rPr>
        <w:t>
      2) пятьдесят процентов стоимости чистых активов для акционерного инвестиционного фонда и закрытого паевого инвестиционного фонда.</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8-2 в соответствии с постановлением Правления Агентства РК по регулированию и развитию финансового рынка от 12.02.2021 </w:t>
      </w:r>
      <w:r>
        <w:rPr>
          <w:rFonts w:ascii="Times New Roman"/>
          <w:b w:val="false"/>
          <w:i w:val="false"/>
          <w:color w:val="000000"/>
          <w:sz w:val="28"/>
        </w:rPr>
        <w:t>№ 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3" w:id="35"/>
    <w:p>
      <w:pPr>
        <w:spacing w:after="0"/>
        <w:ind w:left="0"/>
        <w:jc w:val="both"/>
      </w:pPr>
      <w:r>
        <w:rPr>
          <w:rFonts w:ascii="Times New Roman"/>
          <w:b w:val="false"/>
          <w:i w:val="false"/>
          <w:color w:val="000000"/>
          <w:sz w:val="28"/>
        </w:rPr>
        <w:t xml:space="preserve">
      8-3. Суммарные размеры инвестиций за счет активов инвестиционных фондов в финансовые инструменты, указанные в </w:t>
      </w:r>
      <w:r>
        <w:rPr>
          <w:rFonts w:ascii="Times New Roman"/>
          <w:b w:val="false"/>
          <w:i w:val="false"/>
          <w:color w:val="000000"/>
          <w:sz w:val="28"/>
        </w:rPr>
        <w:t>пунктах 8-1</w:t>
      </w:r>
      <w:r>
        <w:rPr>
          <w:rFonts w:ascii="Times New Roman"/>
          <w:b w:val="false"/>
          <w:i w:val="false"/>
          <w:color w:val="000000"/>
          <w:sz w:val="28"/>
        </w:rPr>
        <w:t xml:space="preserve"> и </w:t>
      </w:r>
      <w:r>
        <w:rPr>
          <w:rFonts w:ascii="Times New Roman"/>
          <w:b w:val="false"/>
          <w:i w:val="false"/>
          <w:color w:val="000000"/>
          <w:sz w:val="28"/>
        </w:rPr>
        <w:t>8-2</w:t>
      </w:r>
      <w:r>
        <w:rPr>
          <w:rFonts w:ascii="Times New Roman"/>
          <w:b w:val="false"/>
          <w:i w:val="false"/>
          <w:color w:val="000000"/>
          <w:sz w:val="28"/>
        </w:rPr>
        <w:t xml:space="preserve"> Правил, не превышают сто процентов от стоимости активов инвестиционного фонда рискового инвестирования и двадцати процентов от стоимости чистых активов фонда недвижимости.</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8-3 в соответствии с постановлением Правления Агентства РК по регулированию и развитию финансового рынка от 12.02.2021 </w:t>
      </w:r>
      <w:r>
        <w:rPr>
          <w:rFonts w:ascii="Times New Roman"/>
          <w:b w:val="false"/>
          <w:i w:val="false"/>
          <w:color w:val="000000"/>
          <w:sz w:val="28"/>
        </w:rPr>
        <w:t>№ 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6" w:id="36"/>
    <w:p>
      <w:pPr>
        <w:spacing w:after="0"/>
        <w:ind w:left="0"/>
        <w:jc w:val="both"/>
      </w:pPr>
      <w:r>
        <w:rPr>
          <w:rFonts w:ascii="Times New Roman"/>
          <w:b w:val="false"/>
          <w:i w:val="false"/>
          <w:color w:val="000000"/>
          <w:sz w:val="28"/>
        </w:rPr>
        <w:t>
      8-4. Суммарные размеры инвестиций за счет активов биржевого паевого инвестиционного фонда (Exchange Traded Fund) (ETF) (Эксчейндж Трэйдэд Фанд) в финансовые инструменты, указанные в пунктах 8-1 и 8-2 Правил, устанавливаются инвестиционной декларацией инвестиционного фонда.</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8-4 в соответствии с постановлением Правления Агентства РК по регулированию и развитию финансового рынка от 31.12.2025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37"/>
    <w:p>
      <w:pPr>
        <w:spacing w:after="0"/>
        <w:ind w:left="0"/>
        <w:jc w:val="both"/>
      </w:pPr>
      <w:r>
        <w:rPr>
          <w:rFonts w:ascii="Times New Roman"/>
          <w:b w:val="false"/>
          <w:i w:val="false"/>
          <w:color w:val="000000"/>
          <w:sz w:val="28"/>
        </w:rPr>
        <w:t>
      9. Управляющая компания в процессе управления активами инвестиционных фондов (за исключением инвестиционных фондов рискового инвестирования) не принимает инвестиционных решений, предполагающих:</w:t>
      </w:r>
    </w:p>
    <w:bookmarkEnd w:id="37"/>
    <w:bookmarkStart w:name="z31" w:id="38"/>
    <w:p>
      <w:pPr>
        <w:spacing w:after="0"/>
        <w:ind w:left="0"/>
        <w:jc w:val="both"/>
      </w:pPr>
      <w:r>
        <w:rPr>
          <w:rFonts w:ascii="Times New Roman"/>
          <w:b w:val="false"/>
          <w:i w:val="false"/>
          <w:color w:val="000000"/>
          <w:sz w:val="28"/>
        </w:rPr>
        <w:t>
      1) приобретение финансовых инструментов за счет активов акционерного инвестиционного фонда, а также открытого и интервального паевого инвестиционного фонда, по которым эмитентом допущен дефолт за исключением обмена (конвертирования) ценных бумаг и иных обязательств эмитента на ценные бумаги данного эмитента, выпущенные в целях реструктуризации обязательств эмитента) либо приостановлены торги фондовой биржей;</w:t>
      </w:r>
    </w:p>
    <w:bookmarkEnd w:id="38"/>
    <w:bookmarkStart w:name="z32" w:id="39"/>
    <w:p>
      <w:pPr>
        <w:spacing w:after="0"/>
        <w:ind w:left="0"/>
        <w:jc w:val="both"/>
      </w:pPr>
      <w:r>
        <w:rPr>
          <w:rFonts w:ascii="Times New Roman"/>
          <w:b w:val="false"/>
          <w:i w:val="false"/>
          <w:color w:val="000000"/>
          <w:sz w:val="28"/>
        </w:rPr>
        <w:t>
      2) заключение сделок с финансовыми инструментами на неорганизованном рынке, условиями которых предусматривается обязательство обратного выкупа либо обратной продажи финансовых инструментов, являющихся предметом сделки;</w:t>
      </w:r>
    </w:p>
    <w:bookmarkEnd w:id="39"/>
    <w:bookmarkStart w:name="z33" w:id="40"/>
    <w:p>
      <w:pPr>
        <w:spacing w:after="0"/>
        <w:ind w:left="0"/>
        <w:jc w:val="both"/>
      </w:pPr>
      <w:r>
        <w:rPr>
          <w:rFonts w:ascii="Times New Roman"/>
          <w:b w:val="false"/>
          <w:i w:val="false"/>
          <w:color w:val="000000"/>
          <w:sz w:val="28"/>
        </w:rPr>
        <w:t>
      3) участие активами открытых или интервальных паевых инвестиционных фондов в простых товариществах;</w:t>
      </w:r>
    </w:p>
    <w:bookmarkEnd w:id="40"/>
    <w:bookmarkStart w:name="z34" w:id="41"/>
    <w:p>
      <w:pPr>
        <w:spacing w:after="0"/>
        <w:ind w:left="0"/>
        <w:jc w:val="both"/>
      </w:pPr>
      <w:r>
        <w:rPr>
          <w:rFonts w:ascii="Times New Roman"/>
          <w:b w:val="false"/>
          <w:i w:val="false"/>
          <w:color w:val="000000"/>
          <w:sz w:val="28"/>
        </w:rPr>
        <w:t>
      4) приобретение долей участия в хозяйственных товариществах, имеющих отрицательный собственный капитал на дату принятия инвестиционного решения;</w:t>
      </w:r>
    </w:p>
    <w:bookmarkEnd w:id="41"/>
    <w:bookmarkStart w:name="z35" w:id="42"/>
    <w:p>
      <w:pPr>
        <w:spacing w:after="0"/>
        <w:ind w:left="0"/>
        <w:jc w:val="both"/>
      </w:pPr>
      <w:r>
        <w:rPr>
          <w:rFonts w:ascii="Times New Roman"/>
          <w:b w:val="false"/>
          <w:i w:val="false"/>
          <w:color w:val="000000"/>
          <w:sz w:val="28"/>
        </w:rPr>
        <w:t>
      5) приобретение финансовых инструментов, выпущенных (предоставленных) юридическими лицами, более пятидесяти процентов активов которых являются предметом судебного разбирательства.</w:t>
      </w:r>
    </w:p>
    <w:bookmarkEnd w:id="42"/>
    <w:bookmarkStart w:name="z36" w:id="43"/>
    <w:p>
      <w:pPr>
        <w:spacing w:after="0"/>
        <w:ind w:left="0"/>
        <w:jc w:val="both"/>
      </w:pPr>
      <w:r>
        <w:rPr>
          <w:rFonts w:ascii="Times New Roman"/>
          <w:b w:val="false"/>
          <w:i w:val="false"/>
          <w:color w:val="000000"/>
          <w:sz w:val="28"/>
        </w:rPr>
        <w:t>
      10. Сделки за счет активов инвестиционного фонда совершаются на международных (иностранных) рынках ценных бумаг при соблюдении следующих условий:</w:t>
      </w:r>
    </w:p>
    <w:bookmarkEnd w:id="43"/>
    <w:p>
      <w:pPr>
        <w:spacing w:after="0"/>
        <w:ind w:left="0"/>
        <w:jc w:val="both"/>
      </w:pPr>
      <w:r>
        <w:rPr>
          <w:rFonts w:ascii="Times New Roman"/>
          <w:b w:val="false"/>
          <w:i w:val="false"/>
          <w:color w:val="000000"/>
          <w:sz w:val="28"/>
        </w:rPr>
        <w:t>
      1) сделка по покупке акций (депозитарных расписок, базовым активом которых являются акции) заключается по цене, не превышающей максимального значения цены по данному финансовому инструменту, сложившейся в день заключения сделки на международных (иностранных) фондовых биржах, на которых обращается данный финансовый инструмент, согласно информации, представленной в информационных аналитических системах Bloomberg (Блумберг) или Reuters (Рейтерс);</w:t>
      </w:r>
    </w:p>
    <w:p>
      <w:pPr>
        <w:spacing w:after="0"/>
        <w:ind w:left="0"/>
        <w:jc w:val="both"/>
      </w:pPr>
      <w:r>
        <w:rPr>
          <w:rFonts w:ascii="Times New Roman"/>
          <w:b w:val="false"/>
          <w:i w:val="false"/>
          <w:color w:val="000000"/>
          <w:sz w:val="28"/>
        </w:rPr>
        <w:t>
      2) сделка по продаже акций (депозитарных расписок, базовым активом которых являются акции) заключается по цене не ниже минимального значения цены по данному финансовому инструменту, сложившейся в день заключения сделки на международных (иностранных) фондовых биржах, на которых обращаются данные финансовые инструменты, согласно информации, представленной в информационных аналитических системах Bloomberg (Блумберг) или Reuters (Рейтерс);</w:t>
      </w:r>
    </w:p>
    <w:p>
      <w:pPr>
        <w:spacing w:after="0"/>
        <w:ind w:left="0"/>
        <w:jc w:val="both"/>
      </w:pPr>
      <w:r>
        <w:rPr>
          <w:rFonts w:ascii="Times New Roman"/>
          <w:b w:val="false"/>
          <w:i w:val="false"/>
          <w:color w:val="000000"/>
          <w:sz w:val="28"/>
        </w:rPr>
        <w:t>
      3) по долговым ценным бумагам, за исключением principal protected notes (принципл протектед ноутс), а также по производным финансовым инструментам имеется распечатка котировок на покупку и (или) продажу с информационных аналитических систем Bloomberg (Блумберг) или Reuters (Рейтерс), либо в случае отсутствия таких котировок имеется не менее трех котировок от трех различных контрпартнеров. При отсутствии от контрпартнера ценовых предложений по данному финансовому инструменту, сообщение контрпартнера об отсутствии котировок или отказе в котировании финансового инструмента включается в отчет (документ) о заключении сделки.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44"/>
    <w:p>
      <w:pPr>
        <w:spacing w:after="0"/>
        <w:ind w:left="0"/>
        <w:jc w:val="both"/>
      </w:pPr>
      <w:r>
        <w:rPr>
          <w:rFonts w:ascii="Times New Roman"/>
          <w:b w:val="false"/>
          <w:i w:val="false"/>
          <w:color w:val="000000"/>
          <w:sz w:val="28"/>
        </w:rPr>
        <w:t>
      11. При приобретении за счет активов инвестиционного фонда principal protected notes (принципл протектед ноутс) расчеты осуществляются по принципу "поставка против платежа".</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45"/>
    <w:p>
      <w:pPr>
        <w:spacing w:after="0"/>
        <w:ind w:left="0"/>
        <w:jc w:val="both"/>
      </w:pPr>
      <w:r>
        <w:rPr>
          <w:rFonts w:ascii="Times New Roman"/>
          <w:b w:val="false"/>
          <w:i w:val="false"/>
          <w:color w:val="000000"/>
          <w:sz w:val="28"/>
        </w:rPr>
        <w:t>
      12. Приобретение управляющей компанией имущества за счет активов инвестиционного фонда осуществляется путем оформления документов, устанавливающих право собственности инвестиционного фонда в отношении приобретаемого имущества.</w:t>
      </w:r>
    </w:p>
    <w:bookmarkEnd w:id="45"/>
    <w:bookmarkStart w:name="z43" w:id="46"/>
    <w:p>
      <w:pPr>
        <w:spacing w:after="0"/>
        <w:ind w:left="0"/>
        <w:jc w:val="both"/>
      </w:pPr>
      <w:r>
        <w:rPr>
          <w:rFonts w:ascii="Times New Roman"/>
          <w:b w:val="false"/>
          <w:i w:val="false"/>
          <w:color w:val="000000"/>
          <w:sz w:val="28"/>
        </w:rPr>
        <w:t>
      13. При возникновении обстоятельств, независящих от действий управляющей компании, повлекших несоответствие структуры активов инвестиционного фонда условиям, установленным настоящими Правилами и (или) инвестиционной декларацией, управляющая компания прекращает инвестиционную деятельность, связанную с таким несоответствием, и в течение одного рабочего дня сообщает в уполномоченный орган о факте и причинах данного несоответствия с приложением плана мероприятий по его устранению с указанием наименования мероприятий, руководящих работников управляющей компании, ответственных за их исполнение, и сроков исполнения.</w:t>
      </w:r>
    </w:p>
    <w:bookmarkEnd w:id="46"/>
    <w:bookmarkStart w:name="z44" w:id="47"/>
    <w:p>
      <w:pPr>
        <w:spacing w:after="0"/>
        <w:ind w:left="0"/>
        <w:jc w:val="both"/>
      </w:pPr>
      <w:r>
        <w:rPr>
          <w:rFonts w:ascii="Times New Roman"/>
          <w:b w:val="false"/>
          <w:i w:val="false"/>
          <w:color w:val="000000"/>
          <w:sz w:val="28"/>
        </w:rPr>
        <w:t>
      Уполномоченный орган рассматривает план мероприятий в течение пяти рабочих дней. При одобрении плана мероприятий уполномоченным органом управляющая компания приступает к его реализации и представляет в уполномоченный орган отчеты о выполнении мероприятий не позднее пяти рабочих дней по истечению сроков исполнения мероприятий, установленных планом мероприятий. При получении замечаний уполномоченного органа к плану мероприятий управляющая компания представляет в уполномоченный орган откорректированный план мероприятий не позднее пяти рабочих дней с даты получения письма уполномоченного органа о результатах рассмотрения плана мероприятий.</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постановлениями Правления Национального Банка РК от 19.12.2015 </w:t>
      </w:r>
      <w:r>
        <w:rPr>
          <w:rFonts w:ascii="Times New Roman"/>
          <w:b w:val="false"/>
          <w:i w:val="false"/>
          <w:color w:val="000000"/>
          <w:sz w:val="28"/>
        </w:rPr>
        <w:t>№ 250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31.12.2019 </w:t>
      </w:r>
      <w:r>
        <w:rPr>
          <w:rFonts w:ascii="Times New Roman"/>
          <w:b w:val="false"/>
          <w:i w:val="false"/>
          <w:color w:val="000000"/>
          <w:sz w:val="28"/>
        </w:rPr>
        <w:t>№ 262</w:t>
      </w:r>
      <w:r>
        <w:rPr>
          <w:rFonts w:ascii="Times New Roman"/>
          <w:b w:val="false"/>
          <w:i w:val="false"/>
          <w:color w:val="ff0000"/>
          <w:sz w:val="28"/>
        </w:rPr>
        <w:t xml:space="preserve"> (вводится в действие c 01.01.2020).</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февраля 2012 года № 60</w:t>
            </w:r>
          </w:p>
        </w:tc>
      </w:tr>
    </w:tbl>
    <w:bookmarkStart w:name="z46" w:id="48"/>
    <w:p>
      <w:pPr>
        <w:spacing w:after="0"/>
        <w:ind w:left="0"/>
        <w:jc w:val="left"/>
      </w:pPr>
      <w:r>
        <w:rPr>
          <w:rFonts w:ascii="Times New Roman"/>
          <w:b/>
          <w:i w:val="false"/>
          <w:color w:val="000000"/>
        </w:rPr>
        <w:t xml:space="preserve"> Перечень финансовых инструментов, которые могут входить в состав активов акционерных и паевых инвестиционных фондов</w:t>
      </w:r>
    </w:p>
    <w:bookmarkEnd w:id="48"/>
    <w:p>
      <w:pPr>
        <w:spacing w:after="0"/>
        <w:ind w:left="0"/>
        <w:jc w:val="both"/>
      </w:pPr>
      <w:r>
        <w:rPr>
          <w:rFonts w:ascii="Times New Roman"/>
          <w:b w:val="false"/>
          <w:i w:val="false"/>
          <w:color w:val="ff0000"/>
          <w:sz w:val="28"/>
        </w:rPr>
        <w:t xml:space="preserve">
      Сноска. Перечень - в редакции постановления Правления Агентства РК по регулированию и развитию финансового рынка от 22.12.2023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13" w:id="49"/>
    <w:p>
      <w:pPr>
        <w:spacing w:after="0"/>
        <w:ind w:left="0"/>
        <w:jc w:val="both"/>
      </w:pPr>
      <w:r>
        <w:rPr>
          <w:rFonts w:ascii="Times New Roman"/>
          <w:b w:val="false"/>
          <w:i w:val="false"/>
          <w:color w:val="000000"/>
          <w:sz w:val="28"/>
        </w:rPr>
        <w:t>
      1. Перечень финансовых инструментов, в которые управляющая компания инвестирует находящиеся в инвестиционном управлении активы каждого отдельного открытого либо интервального паевого инвестиционного фонда, и требования, предъявляемые к ним:</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финансового инструмента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 том числе, эмитированные в соответствии с законодательством иностранных государств), выпущенные Министерством финансов Республики Казахстан и Национальным Банком Республики Казахстан, а также ценные бумаги, выпущенные под гарантию Правительства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Облигации, выпущенные местными исполнительными органами Республики Казахстан, включенные в официальный список фондовой биржи и (или) допущенные к публичным торгам на фондовой бирже, функционирующей на территории Международного Финансового Центра "Астана"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акционерным обществом "Фонд национального благосостояния "Самрук-Казына" и его дочерними организациями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при соответствии одному из следующих условий:</w:t>
            </w:r>
          </w:p>
          <w:p>
            <w:pPr>
              <w:spacing w:after="20"/>
              <w:ind w:left="20"/>
              <w:jc w:val="both"/>
            </w:pPr>
            <w:r>
              <w:rPr>
                <w:rFonts w:ascii="Times New Roman"/>
                <w:b w:val="false"/>
                <w:i w:val="false"/>
                <w:color w:val="000000"/>
                <w:sz w:val="20"/>
              </w:rPr>
              <w:t>банки имеют долгосрочный кредитный рейтинг не ниже "В-" по международной шкале агентства Standard &amp; Poor's (Стандард энд Пурс), или рейтинговую оценку аналогичного уровня одного из других рейтинговых агентств, или рейтинговую оценку не ниже "kzВB-" по национальной шкале Standard &amp; Poor's (Стандард энд Пурс), или рейтинг аналогичного уровня по национальной шкале одного из других рейтинговых агентств;</w:t>
            </w:r>
          </w:p>
          <w:p>
            <w:pPr>
              <w:spacing w:after="20"/>
              <w:ind w:left="20"/>
              <w:jc w:val="both"/>
            </w:pPr>
            <w:r>
              <w:rPr>
                <w:rFonts w:ascii="Times New Roman"/>
                <w:b w:val="false"/>
                <w:i w:val="false"/>
                <w:color w:val="000000"/>
                <w:sz w:val="20"/>
              </w:rPr>
              <w:t>банки являются дочерними банками-резидентами, родительский банк-нерезидент которых имеет долгосрочный кредитный рейтинг по международной шкале агентства Standard &amp; Poor’s (Стандард энд Пурс) не ниже "А-" или рейтинговую оценку аналогичного уровня одного из других рейтинговых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ценные бумаги, выпущенные организациями Республики Казахстан в соответствии с законодательством Республики Казахстан или иностранных государств:</w:t>
            </w:r>
          </w:p>
          <w:p>
            <w:pPr>
              <w:spacing w:after="20"/>
              <w:ind w:left="20"/>
              <w:jc w:val="both"/>
            </w:pPr>
            <w:r>
              <w:rPr>
                <w:rFonts w:ascii="Times New Roman"/>
                <w:b w:val="false"/>
                <w:i w:val="false"/>
                <w:color w:val="000000"/>
                <w:sz w:val="20"/>
              </w:rPr>
              <w:t>акции эмитентов, имеющих рейтинговую оценку не ниже "В-" по международной шкале агентства Standard &amp; Poor's (Стандард энд Пурс) или рейтинговую оценку аналогичного уровня одного из других рейтинговых агентств, или рейтинговую оценку не ниже "kzBB-" по национальной шкале Standard &amp; Poor's (Стандард энд Пурс), или рейтинг аналогичного уровня по национальной шкале одного из других рейтинговых агентств и (или) акции, включенные в официальный список фондовой биржи, соответствующие требованиям секторов "акции" официального списка фондовой биржи и (или) акции эмитентов, допущенные к публичным торгам на фондовой бирже, функционирующей на территории Международного Финансового Центра "Астана";</w:t>
            </w:r>
          </w:p>
          <w:p>
            <w:pPr>
              <w:spacing w:after="20"/>
              <w:ind w:left="20"/>
              <w:jc w:val="both"/>
            </w:pPr>
            <w:r>
              <w:rPr>
                <w:rFonts w:ascii="Times New Roman"/>
                <w:b w:val="false"/>
                <w:i w:val="false"/>
                <w:color w:val="000000"/>
                <w:sz w:val="20"/>
              </w:rPr>
              <w:t>долговые ценные бумаги, имеющие рейтинговую оценку не ниже "В-" по международной шкале агентства Standard &amp; Poor's (Стандард энд Пурс) или рейтинговую оценку аналогичного уровня одного из других рейтинговых агентств, или рейтинговую оценку не ниже "kzBB-" по национальной шкале Standard &amp; Poor's (Стандард энд Пурс), или рейтинг аналогичного уровня по национальной шкале одного из других рейтинговых агентств или долговые ценные бумаги, включенные в официальный список фондовой биржи, соответствующие требованиям секторов "долговые ценные бумаги" официального списка фондовой биржи и (или) долговые ценные бумаги, допущенные к публичным торгам на фондовой бирже, функционирующей на территории Международного Финансового Центра "Астана";</w:t>
            </w:r>
          </w:p>
          <w:p>
            <w:pPr>
              <w:spacing w:after="20"/>
              <w:ind w:left="20"/>
              <w:jc w:val="both"/>
            </w:pPr>
            <w:r>
              <w:rPr>
                <w:rFonts w:ascii="Times New Roman"/>
                <w:b w:val="false"/>
                <w:i w:val="false"/>
                <w:color w:val="000000"/>
                <w:sz w:val="20"/>
              </w:rPr>
              <w:t>инфраструктурные облигации организаций Республики Казахстан, включенные в официальный список фондовой биржи и (или) инфраструктурные облигации организаций Республики Казахстан, допущенные к публичным торгам на фондовой бирже, функционирующей на территории Международного Финансового Центра "Астана";</w:t>
            </w:r>
          </w:p>
          <w:p>
            <w:pPr>
              <w:spacing w:after="20"/>
              <w:ind w:left="20"/>
              <w:jc w:val="both"/>
            </w:pPr>
            <w:r>
              <w:rPr>
                <w:rFonts w:ascii="Times New Roman"/>
                <w:b w:val="false"/>
                <w:i w:val="false"/>
                <w:color w:val="000000"/>
                <w:sz w:val="20"/>
              </w:rPr>
              <w:t>паи интервальных паевых инвестиционных фондов, управляющая компания которых является юридическим лицом, созданным в соответствии с законодательством Республики Казахстан (за исключением паевых инвестиционных фондов, управляющей компанией которых является управляющая компания паевого инвестиционного фонда, за счет активов которого приобретаются данные паи), включенные в официальный список фондовой биржи и (или) допущенные к публичным торгам на фондовой бирже, функционирующей на территории Международного Финансового Центра "Астана";</w:t>
            </w:r>
          </w:p>
          <w:p>
            <w:pPr>
              <w:spacing w:after="20"/>
              <w:ind w:left="20"/>
              <w:jc w:val="both"/>
            </w:pPr>
            <w:r>
              <w:rPr>
                <w:rFonts w:ascii="Times New Roman"/>
                <w:b w:val="false"/>
                <w:i w:val="false"/>
                <w:color w:val="000000"/>
                <w:sz w:val="20"/>
              </w:rPr>
              <w:t>ценные бумаги, выпущенные в рамках реструктуризации обязательств эмитента в целях обмена на ранее выпущенные ценные бумаги либо иные обязательства данного эмитента.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Exchange Traded Funds (ETF) (Эксчейндж Трэйдэд Фандс), Exchange Traded Commodities (ETC) (Эксчейндж Трэйдэд Коммодитис), Exchange Traded Notes (ETN) (Эксчейндж Трэйдэд Ноутс), имеющие рейтинговую оценку не ниже "3 звезды" рейтингового агентства Morningstar (Морнинстар)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Депозитарные расписки, базовым активом которых являются акции, указанные в строках 5, 12, 13 настоящего пункта, либо базовым активом которых являются ценные бумаги эмитентов, имеющих рейтинговую оценку в иностранной валюте по международной шкале кредитного рейтинга не ниже "В-" по международной шкале агентства Standard &amp; Poor's (Стандард энд Пурс) или рейтинговую оценку аналогичного уровня одного из других рейтинговых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имеющих суверенный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Иностранная валюта стран, имеющих суверенный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соответствующие международным стандартам качества, принятым Лондонской ассоциацией рынка драгоценных металлов (London bullion market association) (Лондон биллион маркет асоциэйшн) и обозначенным в документах данной ассоциации как стандарт "Лондонская качественная поставка" ("London good delivery") ("Лондон гуд деливери") и металлические депозиты, в том числе, в банках-нерезидентах Республики Казахстан, обладающих рейтинговой оценкой не ниже "А-" по международной шкале агентства Standard &amp; Poor's (Стандард энд Пурс) или рейтинг аналогичного уровня одного из других рейтинговых агентств, на срок не более двенадцати месяцев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следующими международными финансовыми организациями: Азиатским банком развития;</w:t>
            </w:r>
          </w:p>
          <w:p>
            <w:pPr>
              <w:spacing w:after="20"/>
              <w:ind w:left="20"/>
              <w:jc w:val="both"/>
            </w:pPr>
            <w:r>
              <w:rPr>
                <w:rFonts w:ascii="Times New Roman"/>
                <w:b w:val="false"/>
                <w:i w:val="false"/>
                <w:color w:val="000000"/>
                <w:sz w:val="20"/>
              </w:rPr>
              <w:t>Африканским банком развития;</w:t>
            </w:r>
          </w:p>
          <w:p>
            <w:pPr>
              <w:spacing w:after="20"/>
              <w:ind w:left="20"/>
              <w:jc w:val="both"/>
            </w:pPr>
            <w:r>
              <w:rPr>
                <w:rFonts w:ascii="Times New Roman"/>
                <w:b w:val="false"/>
                <w:i w:val="false"/>
                <w:color w:val="000000"/>
                <w:sz w:val="20"/>
              </w:rPr>
              <w:t>Банком международных расчетов;</w:t>
            </w:r>
          </w:p>
          <w:p>
            <w:pPr>
              <w:spacing w:after="20"/>
              <w:ind w:left="20"/>
              <w:jc w:val="both"/>
            </w:pPr>
            <w:r>
              <w:rPr>
                <w:rFonts w:ascii="Times New Roman"/>
                <w:b w:val="false"/>
                <w:i w:val="false"/>
                <w:color w:val="000000"/>
                <w:sz w:val="20"/>
              </w:rPr>
              <w:t>Евразийским банком развития;</w:t>
            </w:r>
          </w:p>
          <w:p>
            <w:pPr>
              <w:spacing w:after="20"/>
              <w:ind w:left="20"/>
              <w:jc w:val="both"/>
            </w:pPr>
            <w:r>
              <w:rPr>
                <w:rFonts w:ascii="Times New Roman"/>
                <w:b w:val="false"/>
                <w:i w:val="false"/>
                <w:color w:val="000000"/>
                <w:sz w:val="20"/>
              </w:rPr>
              <w:t>Европейским инвестиционным банком;</w:t>
            </w:r>
          </w:p>
          <w:p>
            <w:pPr>
              <w:spacing w:after="20"/>
              <w:ind w:left="20"/>
              <w:jc w:val="both"/>
            </w:pPr>
            <w:r>
              <w:rPr>
                <w:rFonts w:ascii="Times New Roman"/>
                <w:b w:val="false"/>
                <w:i w:val="false"/>
                <w:color w:val="000000"/>
                <w:sz w:val="20"/>
              </w:rPr>
              <w:t>Европейским банком реконструкции и развития;</w:t>
            </w:r>
          </w:p>
          <w:p>
            <w:pPr>
              <w:spacing w:after="20"/>
              <w:ind w:left="20"/>
              <w:jc w:val="both"/>
            </w:pPr>
            <w:r>
              <w:rPr>
                <w:rFonts w:ascii="Times New Roman"/>
                <w:b w:val="false"/>
                <w:i w:val="false"/>
                <w:color w:val="000000"/>
                <w:sz w:val="20"/>
              </w:rPr>
              <w:t>Исламским банком развития;</w:t>
            </w:r>
          </w:p>
          <w:p>
            <w:pPr>
              <w:spacing w:after="20"/>
              <w:ind w:left="20"/>
              <w:jc w:val="both"/>
            </w:pPr>
            <w:r>
              <w:rPr>
                <w:rFonts w:ascii="Times New Roman"/>
                <w:b w:val="false"/>
                <w:i w:val="false"/>
                <w:color w:val="000000"/>
                <w:sz w:val="20"/>
              </w:rPr>
              <w:t>Межамериканским банком развития;</w:t>
            </w:r>
          </w:p>
          <w:p>
            <w:pPr>
              <w:spacing w:after="20"/>
              <w:ind w:left="20"/>
              <w:jc w:val="both"/>
            </w:pPr>
            <w:r>
              <w:rPr>
                <w:rFonts w:ascii="Times New Roman"/>
                <w:b w:val="false"/>
                <w:i w:val="false"/>
                <w:color w:val="000000"/>
                <w:sz w:val="20"/>
              </w:rPr>
              <w:t>Международным банком реконструкции и развития;</w:t>
            </w:r>
          </w:p>
          <w:p>
            <w:pPr>
              <w:spacing w:after="20"/>
              <w:ind w:left="20"/>
              <w:jc w:val="both"/>
            </w:pPr>
            <w:r>
              <w:rPr>
                <w:rFonts w:ascii="Times New Roman"/>
                <w:b w:val="false"/>
                <w:i w:val="false"/>
                <w:color w:val="000000"/>
                <w:sz w:val="20"/>
              </w:rPr>
              <w:t>Международной финансовой корпорацией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ценные бумаги, выпущенные иностранными организациями: долговые ценные бумаги, имеющие рейтинговую оценку не ниже "ВВ-" по международной шкале агентства Standard &amp; Poor's (Стандард энд Пурс) или рейтинговую оценку аналогичного уровня одного из других рейтинговых агентств и (или) долговые ценные бумаги, включенные в список фондовой биржи, функционирующей на территории иностранного государства, признаваемой фондовой биржей, функционирующей на территории Республики Казахстан;</w:t>
            </w:r>
          </w:p>
          <w:p>
            <w:pPr>
              <w:spacing w:after="20"/>
              <w:ind w:left="20"/>
              <w:jc w:val="both"/>
            </w:pPr>
            <w:r>
              <w:rPr>
                <w:rFonts w:ascii="Times New Roman"/>
                <w:b w:val="false"/>
                <w:i w:val="false"/>
                <w:color w:val="000000"/>
                <w:sz w:val="20"/>
              </w:rPr>
              <w:t>акции, выпущенные иностранными организациями, имеющими рейтинговую оценку не ниже "ВВ-" по международной шкале агентства Standard &amp; Poor's (Стандард энд Пурс) или рейтинговую оценку аналогичного уровня одного из других рейтинговых агентств и (или) акции, включенные в список фондовой биржи, функционирующей на территории иностранного государства, признаваемой фондовой биржей, функционирующей на территории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ценные бумаги, выпущенные иностранными организациями, признаваемыми резидентами Республики Казахстан, включенные в официальный список фондовой биржи, функционирующей на территории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Principal protected notes (Принципл протектед ноутс), выпущенные организациями, имеющими рейтинговую оценку не ниже "А-" по международной шкале агентства Standard &amp; Poor’s (Стандард энд Пурс) или рейтинговую оценку аналогичного уровня одного из других рейтинговых агентств, которые соответствуют следующим условиям:</w:t>
            </w:r>
          </w:p>
          <w:p>
            <w:pPr>
              <w:spacing w:after="20"/>
              <w:ind w:left="20"/>
              <w:jc w:val="both"/>
            </w:pPr>
            <w:r>
              <w:rPr>
                <w:rFonts w:ascii="Times New Roman"/>
                <w:b w:val="false"/>
                <w:i w:val="false"/>
                <w:color w:val="000000"/>
                <w:sz w:val="20"/>
              </w:rPr>
              <w:t>
срок обращения не превышает пяти лет;</w:t>
            </w:r>
          </w:p>
          <w:p>
            <w:pPr>
              <w:spacing w:after="20"/>
              <w:ind w:left="20"/>
              <w:jc w:val="both"/>
            </w:pPr>
            <w:r>
              <w:rPr>
                <w:rFonts w:ascii="Times New Roman"/>
                <w:b w:val="false"/>
                <w:i w:val="false"/>
                <w:color w:val="000000"/>
                <w:sz w:val="20"/>
              </w:rPr>
              <w:t>условиями выпуска principal protected notes (принципл протектед ноутс) не предусмотрены случаи дефолта какого-либо государства, эмитента по своим обязательствам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банках-нерезидентах, имеющих долгосрочный кредитный рейтинг не ниже "А-" по международной шкале агентства Standard &amp; Poor's (Стандард энд Пурс) или рейтинговую оценку аналогичного уровня одного из других рейтинговых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 (фьючерсы, опционы, свопы, форварды), заключенные в целях хеджирования, базовым активом которых являются финансовые инструменты, которые входят в состав активов открытого и интервального паевых инвестиционных фондов, иностранная валюта, а также следующие расчетные показатели (индексы):</w:t>
            </w:r>
          </w:p>
          <w:p>
            <w:pPr>
              <w:spacing w:after="20"/>
              <w:ind w:left="20"/>
              <w:jc w:val="both"/>
            </w:pPr>
            <w:r>
              <w:rPr>
                <w:rFonts w:ascii="Times New Roman"/>
                <w:b w:val="false"/>
                <w:i w:val="false"/>
                <w:color w:val="000000"/>
                <w:sz w:val="20"/>
              </w:rPr>
              <w:t>AIX (Astana International Exchange) (Астана Интернейшнл Эксчейндж);</w:t>
            </w:r>
          </w:p>
          <w:p>
            <w:pPr>
              <w:spacing w:after="20"/>
              <w:ind w:left="20"/>
              <w:jc w:val="both"/>
            </w:pPr>
            <w:r>
              <w:rPr>
                <w:rFonts w:ascii="Times New Roman"/>
                <w:b w:val="false"/>
                <w:i w:val="false"/>
                <w:color w:val="000000"/>
                <w:sz w:val="20"/>
              </w:rPr>
              <w:t>САС 40 (Compagnie des Agents de Change 40 Index) (Компани дэ Эжон дэ Шанж 40 Индекс);</w:t>
            </w:r>
          </w:p>
          <w:p>
            <w:pPr>
              <w:spacing w:after="20"/>
              <w:ind w:left="20"/>
              <w:jc w:val="both"/>
            </w:pPr>
            <w:r>
              <w:rPr>
                <w:rFonts w:ascii="Times New Roman"/>
                <w:b w:val="false"/>
                <w:i w:val="false"/>
                <w:color w:val="000000"/>
                <w:sz w:val="20"/>
              </w:rPr>
              <w:t>DAX (Deutscher Aktienindex) (Дойтче Акциениндекс);</w:t>
            </w:r>
          </w:p>
          <w:p>
            <w:pPr>
              <w:spacing w:after="20"/>
              <w:ind w:left="20"/>
              <w:jc w:val="both"/>
            </w:pPr>
            <w:r>
              <w:rPr>
                <w:rFonts w:ascii="Times New Roman"/>
                <w:b w:val="false"/>
                <w:i w:val="false"/>
                <w:color w:val="000000"/>
                <w:sz w:val="20"/>
              </w:rPr>
              <w:t>DJIA (Dow Jones Industrial Average) (Доу Джонс Индастриал Эвередж);</w:t>
            </w:r>
          </w:p>
          <w:p>
            <w:pPr>
              <w:spacing w:after="20"/>
              <w:ind w:left="20"/>
              <w:jc w:val="both"/>
            </w:pPr>
            <w:r>
              <w:rPr>
                <w:rFonts w:ascii="Times New Roman"/>
                <w:b w:val="false"/>
                <w:i w:val="false"/>
                <w:color w:val="000000"/>
                <w:sz w:val="20"/>
              </w:rPr>
              <w:t>EURO STOXX 50 (EURO STOXX 50 Price Index) (Юроп Эс Ти Оу Экс Экс 50 Прайс Индекс);</w:t>
            </w:r>
          </w:p>
          <w:p>
            <w:pPr>
              <w:spacing w:after="20"/>
              <w:ind w:left="20"/>
              <w:jc w:val="both"/>
            </w:pPr>
            <w:r>
              <w:rPr>
                <w:rFonts w:ascii="Times New Roman"/>
                <w:b w:val="false"/>
                <w:i w:val="false"/>
                <w:color w:val="000000"/>
                <w:sz w:val="20"/>
              </w:rPr>
              <w:t>FTSE 100 (Financial Times Stock Exchange 100 Index) (Файнэншл Таймс Сток Эксчейндж 100 Индекс);</w:t>
            </w:r>
          </w:p>
          <w:p>
            <w:pPr>
              <w:spacing w:after="20"/>
              <w:ind w:left="20"/>
              <w:jc w:val="both"/>
            </w:pPr>
            <w:r>
              <w:rPr>
                <w:rFonts w:ascii="Times New Roman"/>
                <w:b w:val="false"/>
                <w:i w:val="false"/>
                <w:color w:val="000000"/>
                <w:sz w:val="20"/>
              </w:rPr>
              <w:t>HSI (Hang Seng Index) (Ханг Сенг Индекс);</w:t>
            </w:r>
          </w:p>
          <w:p>
            <w:pPr>
              <w:spacing w:after="20"/>
              <w:ind w:left="20"/>
              <w:jc w:val="both"/>
            </w:pPr>
            <w:r>
              <w:rPr>
                <w:rFonts w:ascii="Times New Roman"/>
                <w:b w:val="false"/>
                <w:i w:val="false"/>
                <w:color w:val="000000"/>
                <w:sz w:val="20"/>
              </w:rPr>
              <w:t>KASE (Kazakhstan Stock Exchange Index) (Казахстан Сток Эксчейндж Индекс);</w:t>
            </w:r>
          </w:p>
          <w:p>
            <w:pPr>
              <w:spacing w:after="20"/>
              <w:ind w:left="20"/>
              <w:jc w:val="both"/>
            </w:pPr>
            <w:r>
              <w:rPr>
                <w:rFonts w:ascii="Times New Roman"/>
                <w:b w:val="false"/>
                <w:i w:val="false"/>
                <w:color w:val="000000"/>
                <w:sz w:val="20"/>
              </w:rPr>
              <w:t>MSCI World Index (Morgan Stanley Capital International World Index) (Морган Стэнли Кэпитал Интернешнл Ворлд Индекс);</w:t>
            </w:r>
          </w:p>
          <w:p>
            <w:pPr>
              <w:spacing w:after="20"/>
              <w:ind w:left="20"/>
              <w:jc w:val="both"/>
            </w:pPr>
            <w:r>
              <w:rPr>
                <w:rFonts w:ascii="Times New Roman"/>
                <w:b w:val="false"/>
                <w:i w:val="false"/>
                <w:color w:val="000000"/>
                <w:sz w:val="20"/>
              </w:rPr>
              <w:t>MOEX Russia (Moscow Exchange Russia Index) (Москоу Эксчейндж Раша Индекс);</w:t>
            </w:r>
          </w:p>
          <w:p>
            <w:pPr>
              <w:spacing w:after="20"/>
              <w:ind w:left="20"/>
              <w:jc w:val="both"/>
            </w:pPr>
            <w:r>
              <w:rPr>
                <w:rFonts w:ascii="Times New Roman"/>
                <w:b w:val="false"/>
                <w:i w:val="false"/>
                <w:color w:val="000000"/>
                <w:sz w:val="20"/>
              </w:rPr>
              <w:t>NIKKEI 225 (Nikkei-225 Stock Average Index) (Никкэй-225 Сток Эвередж Индекс);</w:t>
            </w:r>
          </w:p>
          <w:p>
            <w:pPr>
              <w:spacing w:after="20"/>
              <w:ind w:left="20"/>
              <w:jc w:val="both"/>
            </w:pPr>
            <w:r>
              <w:rPr>
                <w:rFonts w:ascii="Times New Roman"/>
                <w:b w:val="false"/>
                <w:i w:val="false"/>
                <w:color w:val="000000"/>
                <w:sz w:val="20"/>
              </w:rPr>
              <w:t>RTSI (Russian Trade System Index) (Рашен Трейд Систем Индекс);</w:t>
            </w:r>
          </w:p>
          <w:p>
            <w:pPr>
              <w:spacing w:after="20"/>
              <w:ind w:left="20"/>
              <w:jc w:val="both"/>
            </w:pPr>
            <w:r>
              <w:rPr>
                <w:rFonts w:ascii="Times New Roman"/>
                <w:b w:val="false"/>
                <w:i w:val="false"/>
                <w:color w:val="000000"/>
                <w:sz w:val="20"/>
              </w:rPr>
              <w:t>S&amp;P 500 (Standard and Poor's 500 Index) (Стандард энд Пурс 500 Индекс);</w:t>
            </w:r>
          </w:p>
          <w:p>
            <w:pPr>
              <w:spacing w:after="20"/>
              <w:ind w:left="20"/>
              <w:jc w:val="both"/>
            </w:pPr>
            <w:r>
              <w:rPr>
                <w:rFonts w:ascii="Times New Roman"/>
                <w:b w:val="false"/>
                <w:i w:val="false"/>
                <w:color w:val="000000"/>
                <w:sz w:val="20"/>
              </w:rPr>
              <w:t>TOPIX 100 (Tokyo Stock Price 100 Index) (Токио Сток Прайс 100 Индекс);</w:t>
            </w:r>
          </w:p>
          <w:p>
            <w:pPr>
              <w:spacing w:after="20"/>
              <w:ind w:left="20"/>
              <w:jc w:val="both"/>
            </w:pPr>
            <w:r>
              <w:rPr>
                <w:rFonts w:ascii="Times New Roman"/>
                <w:b w:val="false"/>
                <w:i w:val="false"/>
                <w:color w:val="000000"/>
                <w:sz w:val="20"/>
              </w:rPr>
              <w:t>NASDAQ-100 (Nasdaq-100 Index) (Насдак-100 Индекс)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участия в товариществе с ограниченной ответственностью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Exchange Traded Funds (ETF) (Эксчейндж Трэйдэд Фандс), структура активов которых повторяет структуру одного из основных фондовых индексов, или ценообразование по паям которых привязано к основным фондовым индексам</w:t>
            </w:r>
          </w:p>
        </w:tc>
      </w:tr>
    </w:tbl>
    <w:bookmarkStart w:name="z614" w:id="50"/>
    <w:p>
      <w:pPr>
        <w:spacing w:after="0"/>
        <w:ind w:left="0"/>
        <w:jc w:val="both"/>
      </w:pPr>
      <w:r>
        <w:rPr>
          <w:rFonts w:ascii="Times New Roman"/>
          <w:b w:val="false"/>
          <w:i w:val="false"/>
          <w:color w:val="000000"/>
          <w:sz w:val="28"/>
        </w:rPr>
        <w:t>
      2. Перечень финансовых инструментов, в которые управляющая компания инвестирует находящиеся в инвестиционном управлении активы каждого отдельного фонда недвижимости, и требования, предъявляемые к ним:</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финансового инструмента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 том числе эмитированные в соответствии с законодательством других государств), выпущенные Министерством финансов Республики Казахстан и Национальным Банком Республики Казахстан, а также ценные бумаги, выпущенные под гарантию Правительства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Облигации, выпущенные местными исполнительными органами Республики Казахстан, включенные в официальный список фондовой биржи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акционерным обществом "Фонд национального благосостояния "Самрук-Казына"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при соответствии одному из следующих условий:</w:t>
            </w:r>
          </w:p>
          <w:p>
            <w:pPr>
              <w:spacing w:after="20"/>
              <w:ind w:left="20"/>
              <w:jc w:val="both"/>
            </w:pPr>
            <w:r>
              <w:rPr>
                <w:rFonts w:ascii="Times New Roman"/>
                <w:b w:val="false"/>
                <w:i w:val="false"/>
                <w:color w:val="000000"/>
                <w:sz w:val="20"/>
              </w:rPr>
              <w:t>банки имеют долгосрочный кредитный рейтинг не ниже "В-" по международной шкале агентства Standard &amp; Poor's (Стандард энд Пурс), или рейтинговую оценку аналогичного уровня одного из других рейтинговых агентств, или рейтинговую оценку не ниже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p>
            <w:pPr>
              <w:spacing w:after="20"/>
              <w:ind w:left="20"/>
              <w:jc w:val="both"/>
            </w:pPr>
            <w:r>
              <w:rPr>
                <w:rFonts w:ascii="Times New Roman"/>
                <w:b w:val="false"/>
                <w:i w:val="false"/>
                <w:color w:val="000000"/>
                <w:sz w:val="20"/>
              </w:rPr>
              <w:t>банки являются дочерними банками-резидентами, родительский банк-нерезидент которых имеет долгосрочный кредитный рейтинг по международной шкале агентства Standard &amp; Poor's (Стандард энд Пурс) не ниже "А-" или рейтинговую оценку аналогичного уровня одного из других рейтинговых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при условии их нахождения на дату заключения сделки в представительском списке индекса фондовой биржи, функционирующей на территории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организациями Республики Казахстан в соответствии с законодательством Республики Казахстан или иностранных государств, имеющие рейтинговую оценку не ниже "ВВ-" по международной шкале агентства Standard &amp; Poor's (Стандард энд Пурс) или рейтинговую оценку аналогичного уровня одного из других рейтинговых агентств, или рейтинговую оценку не ниже "kzA-"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иностранными организациями, имеющие рейтинговую оценку не ниже "АА-" по международной шкале агентства Standard &amp; Poor’s (Стандард энд Пурс) или рейтинговую оценку аналогичного уровня одного из других рейтинговых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выпущенные иностранными организациями, имеющими рейтинговую оценку не ниже "АА-" по международной шкале агентства Standard &amp; Poor’s (Стандард энд Пурс) или рейтинговую оценку аналогичного уровня одного из других рейтинговых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следующими международными финансовыми организациями, имеющие рейтинговую оценку не ниже "ВВВ" по международной шкале агентства Standard &amp; Poor's (Стандард энд Пурс), или рейтинговую оценку аналогичного уровня одного из других рейтинговых агентств:</w:t>
            </w:r>
          </w:p>
          <w:p>
            <w:pPr>
              <w:spacing w:after="20"/>
              <w:ind w:left="20"/>
              <w:jc w:val="both"/>
            </w:pPr>
            <w:r>
              <w:rPr>
                <w:rFonts w:ascii="Times New Roman"/>
                <w:b w:val="false"/>
                <w:i w:val="false"/>
                <w:color w:val="000000"/>
                <w:sz w:val="20"/>
              </w:rPr>
              <w:t>Азиатским банком развития;</w:t>
            </w:r>
          </w:p>
          <w:p>
            <w:pPr>
              <w:spacing w:after="20"/>
              <w:ind w:left="20"/>
              <w:jc w:val="both"/>
            </w:pPr>
            <w:r>
              <w:rPr>
                <w:rFonts w:ascii="Times New Roman"/>
                <w:b w:val="false"/>
                <w:i w:val="false"/>
                <w:color w:val="000000"/>
                <w:sz w:val="20"/>
              </w:rPr>
              <w:t>Африканским банком развития;</w:t>
            </w:r>
          </w:p>
          <w:p>
            <w:pPr>
              <w:spacing w:after="20"/>
              <w:ind w:left="20"/>
              <w:jc w:val="both"/>
            </w:pPr>
            <w:r>
              <w:rPr>
                <w:rFonts w:ascii="Times New Roman"/>
                <w:b w:val="false"/>
                <w:i w:val="false"/>
                <w:color w:val="000000"/>
                <w:sz w:val="20"/>
              </w:rPr>
              <w:t>Банком международных расчетов;</w:t>
            </w:r>
          </w:p>
          <w:p>
            <w:pPr>
              <w:spacing w:after="20"/>
              <w:ind w:left="20"/>
              <w:jc w:val="both"/>
            </w:pPr>
            <w:r>
              <w:rPr>
                <w:rFonts w:ascii="Times New Roman"/>
                <w:b w:val="false"/>
                <w:i w:val="false"/>
                <w:color w:val="000000"/>
                <w:sz w:val="20"/>
              </w:rPr>
              <w:t>Евразийским банком развития;</w:t>
            </w:r>
          </w:p>
          <w:p>
            <w:pPr>
              <w:spacing w:after="20"/>
              <w:ind w:left="20"/>
              <w:jc w:val="both"/>
            </w:pPr>
            <w:r>
              <w:rPr>
                <w:rFonts w:ascii="Times New Roman"/>
                <w:b w:val="false"/>
                <w:i w:val="false"/>
                <w:color w:val="000000"/>
                <w:sz w:val="20"/>
              </w:rPr>
              <w:t>Европейским инвестиционным банком;</w:t>
            </w:r>
          </w:p>
          <w:p>
            <w:pPr>
              <w:spacing w:after="20"/>
              <w:ind w:left="20"/>
              <w:jc w:val="both"/>
            </w:pPr>
            <w:r>
              <w:rPr>
                <w:rFonts w:ascii="Times New Roman"/>
                <w:b w:val="false"/>
                <w:i w:val="false"/>
                <w:color w:val="000000"/>
                <w:sz w:val="20"/>
              </w:rPr>
              <w:t>Европейским банком реконструкции и развития;</w:t>
            </w:r>
          </w:p>
          <w:p>
            <w:pPr>
              <w:spacing w:after="20"/>
              <w:ind w:left="20"/>
              <w:jc w:val="both"/>
            </w:pPr>
            <w:r>
              <w:rPr>
                <w:rFonts w:ascii="Times New Roman"/>
                <w:b w:val="false"/>
                <w:i w:val="false"/>
                <w:color w:val="000000"/>
                <w:sz w:val="20"/>
              </w:rPr>
              <w:t>Исламским банком развития;</w:t>
            </w:r>
          </w:p>
          <w:p>
            <w:pPr>
              <w:spacing w:after="20"/>
              <w:ind w:left="20"/>
              <w:jc w:val="both"/>
            </w:pPr>
            <w:r>
              <w:rPr>
                <w:rFonts w:ascii="Times New Roman"/>
                <w:b w:val="false"/>
                <w:i w:val="false"/>
                <w:color w:val="000000"/>
                <w:sz w:val="20"/>
              </w:rPr>
              <w:t>Межамериканским банком развития;</w:t>
            </w:r>
          </w:p>
          <w:p>
            <w:pPr>
              <w:spacing w:after="20"/>
              <w:ind w:left="20"/>
              <w:jc w:val="both"/>
            </w:pPr>
            <w:r>
              <w:rPr>
                <w:rFonts w:ascii="Times New Roman"/>
                <w:b w:val="false"/>
                <w:i w:val="false"/>
                <w:color w:val="000000"/>
                <w:sz w:val="20"/>
              </w:rPr>
              <w:t>Международным банком реконструкции и развития;</w:t>
            </w:r>
          </w:p>
          <w:p>
            <w:pPr>
              <w:spacing w:after="20"/>
              <w:ind w:left="20"/>
              <w:jc w:val="both"/>
            </w:pPr>
            <w:r>
              <w:rPr>
                <w:rFonts w:ascii="Times New Roman"/>
                <w:b w:val="false"/>
                <w:i w:val="false"/>
                <w:color w:val="000000"/>
                <w:sz w:val="20"/>
              </w:rPr>
              <w:t>Международной финансовой корпорацией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выпущенный центральными правительствами иностранных государств, имеющих суверенный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Иностранная валюта стран, имеющих суверенный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соответствующие международным стандартам качества, принятым Лондонской ассоциацией рынка драгоценных металлов (London bullion market association) (Лондон биллион маркет асоциэйшн) и обозначенным в документах данной ассоциации как стандарт "Лондонская качественная поставка" ("London good delivery") ("Лондон гуд деливери") и металлические депозиты, в том числе, в банках-нерезидентах Республики Казахстан, обладающих рейтинговой оценкой не ниже "А-" по международной шкале агентства Standard &amp; Poor's (Стандард энд Пурс) или рейтинг аналогичного уровня одного из других рейтинговых агентств, на срок не более двенадцати месяцев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 заключенные в целях хеджирования, базовым активом которых являются финансовые инструменты, разрешенные к приобретению за счет активов фондов недвижимости в соответствии с настоящим Перечнем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участия в юридическом лице, осуществляющем обслуживание имущества, входящего в состав фонда недвижимости</w:t>
            </w:r>
          </w:p>
        </w:tc>
      </w:tr>
    </w:tbl>
    <w:bookmarkStart w:name="z615" w:id="51"/>
    <w:p>
      <w:pPr>
        <w:spacing w:after="0"/>
        <w:ind w:left="0"/>
        <w:jc w:val="both"/>
      </w:pPr>
      <w:r>
        <w:rPr>
          <w:rFonts w:ascii="Times New Roman"/>
          <w:b w:val="false"/>
          <w:i w:val="false"/>
          <w:color w:val="000000"/>
          <w:sz w:val="28"/>
        </w:rPr>
        <w:t>
      3. Перечень финансовых инструментов, в которые управляющая компания инвестирует находящиеся в инвестиционном управлении активы каждого отдельного биржевого паевого инвестиционного фонда (Exchange Traded Fund) (ETF) (Эксчейндж Трэйдэд Фандс), и требования, предъявляемые к ним:</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финансового инструмента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KASE (Kazakhstan Stock Exchange) (Казахстан Сток Эксчейндж)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KZGB (Kazakhstan Government Bonds) (Казахстан Гавемент Бондс)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KASE_BM (Kazakhstan Stock Exchange Bond Market) (Казахстан Сток Эксчейндж Бонд Маркет)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TONIA (Tenge OverNight Index Average) (Теңге ОверНайт Индекс Эвередж)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Индексы международных фондовых бирж:</w:t>
            </w:r>
          </w:p>
          <w:p>
            <w:pPr>
              <w:spacing w:after="20"/>
              <w:ind w:left="20"/>
              <w:jc w:val="both"/>
            </w:pPr>
            <w:r>
              <w:rPr>
                <w:rFonts w:ascii="Times New Roman"/>
                <w:b w:val="false"/>
                <w:i w:val="false"/>
                <w:color w:val="000000"/>
                <w:sz w:val="20"/>
              </w:rPr>
              <w:t>
САС 40 (Compagnie des Agents de Change 40 Index) (Компани дэ Эжон дэ Шанж 40 Индекс);</w:t>
            </w:r>
          </w:p>
          <w:p>
            <w:pPr>
              <w:spacing w:after="20"/>
              <w:ind w:left="20"/>
              <w:jc w:val="both"/>
            </w:pPr>
            <w:r>
              <w:rPr>
                <w:rFonts w:ascii="Times New Roman"/>
                <w:b w:val="false"/>
                <w:i w:val="false"/>
                <w:color w:val="000000"/>
                <w:sz w:val="20"/>
              </w:rPr>
              <w:t>
DAX (Deutscher Aktienindex) (Дойтче Акциениндекс);</w:t>
            </w:r>
          </w:p>
          <w:p>
            <w:pPr>
              <w:spacing w:after="20"/>
              <w:ind w:left="20"/>
              <w:jc w:val="both"/>
            </w:pPr>
            <w:r>
              <w:rPr>
                <w:rFonts w:ascii="Times New Roman"/>
                <w:b w:val="false"/>
                <w:i w:val="false"/>
                <w:color w:val="000000"/>
                <w:sz w:val="20"/>
              </w:rPr>
              <w:t>
DJIA (Dow Jones Industrial Average) (Доу Джонс Индастриал Эвередж);</w:t>
            </w:r>
          </w:p>
          <w:p>
            <w:pPr>
              <w:spacing w:after="20"/>
              <w:ind w:left="20"/>
              <w:jc w:val="both"/>
            </w:pPr>
            <w:r>
              <w:rPr>
                <w:rFonts w:ascii="Times New Roman"/>
                <w:b w:val="false"/>
                <w:i w:val="false"/>
                <w:color w:val="000000"/>
                <w:sz w:val="20"/>
              </w:rPr>
              <w:t>
EURO STOXX 50 (EURO STOXX 50 Price Index) (Юроп Эс Ти Оу Экс Экс 50 Прайс Индекс);</w:t>
            </w:r>
          </w:p>
          <w:p>
            <w:pPr>
              <w:spacing w:after="20"/>
              <w:ind w:left="20"/>
              <w:jc w:val="both"/>
            </w:pPr>
            <w:r>
              <w:rPr>
                <w:rFonts w:ascii="Times New Roman"/>
                <w:b w:val="false"/>
                <w:i w:val="false"/>
                <w:color w:val="000000"/>
                <w:sz w:val="20"/>
              </w:rPr>
              <w:t>
FTSE 100 (Financial Times Stock Exchange 100 Index) (Файнэншл Таймс Сток Эксчейндж 100 Индекс);</w:t>
            </w:r>
          </w:p>
          <w:p>
            <w:pPr>
              <w:spacing w:after="20"/>
              <w:ind w:left="20"/>
              <w:jc w:val="both"/>
            </w:pPr>
            <w:r>
              <w:rPr>
                <w:rFonts w:ascii="Times New Roman"/>
                <w:b w:val="false"/>
                <w:i w:val="false"/>
                <w:color w:val="000000"/>
                <w:sz w:val="20"/>
              </w:rPr>
              <w:t>
HSI (Hang Seng Index) (Ханг Сенг Индекс);</w:t>
            </w:r>
          </w:p>
          <w:p>
            <w:pPr>
              <w:spacing w:after="20"/>
              <w:ind w:left="20"/>
              <w:jc w:val="both"/>
            </w:pPr>
            <w:r>
              <w:rPr>
                <w:rFonts w:ascii="Times New Roman"/>
                <w:b w:val="false"/>
                <w:i w:val="false"/>
                <w:color w:val="000000"/>
                <w:sz w:val="20"/>
              </w:rPr>
              <w:t>
MSCI World Index (Morgan Stanley Capital International World Index) (Морган Стэнли Кэпитал Интернешнл Ворлд Индекс);</w:t>
            </w:r>
          </w:p>
          <w:p>
            <w:pPr>
              <w:spacing w:after="20"/>
              <w:ind w:left="20"/>
              <w:jc w:val="both"/>
            </w:pPr>
            <w:r>
              <w:rPr>
                <w:rFonts w:ascii="Times New Roman"/>
                <w:b w:val="false"/>
                <w:i w:val="false"/>
                <w:color w:val="000000"/>
                <w:sz w:val="20"/>
              </w:rPr>
              <w:t>
MOEX Russia (Moscow Exchange Russia Index) (Москоу Эксчейндж Раша Индекс);</w:t>
            </w:r>
          </w:p>
          <w:p>
            <w:pPr>
              <w:spacing w:after="20"/>
              <w:ind w:left="20"/>
              <w:jc w:val="both"/>
            </w:pPr>
            <w:r>
              <w:rPr>
                <w:rFonts w:ascii="Times New Roman"/>
                <w:b w:val="false"/>
                <w:i w:val="false"/>
                <w:color w:val="000000"/>
                <w:sz w:val="20"/>
              </w:rPr>
              <w:t>
NIKKEI 225 (Nikkei-225 Stock Average Index) (Никкэй-225 Сток Эвередж Индекс);</w:t>
            </w:r>
          </w:p>
          <w:p>
            <w:pPr>
              <w:spacing w:after="20"/>
              <w:ind w:left="20"/>
              <w:jc w:val="both"/>
            </w:pPr>
            <w:r>
              <w:rPr>
                <w:rFonts w:ascii="Times New Roman"/>
                <w:b w:val="false"/>
                <w:i w:val="false"/>
                <w:color w:val="000000"/>
                <w:sz w:val="20"/>
              </w:rPr>
              <w:t>
RTSI (Russian Trade System Index) (Рашен Трейд Систем Индекс);</w:t>
            </w:r>
          </w:p>
          <w:p>
            <w:pPr>
              <w:spacing w:after="20"/>
              <w:ind w:left="20"/>
              <w:jc w:val="both"/>
            </w:pPr>
            <w:r>
              <w:rPr>
                <w:rFonts w:ascii="Times New Roman"/>
                <w:b w:val="false"/>
                <w:i w:val="false"/>
                <w:color w:val="000000"/>
                <w:sz w:val="20"/>
              </w:rPr>
              <w:t>
S&amp;P 500 (Standard and Poor's 500 Index) (Стандард энд Пурс 500 Индекс);</w:t>
            </w:r>
          </w:p>
          <w:p>
            <w:pPr>
              <w:spacing w:after="20"/>
              <w:ind w:left="20"/>
              <w:jc w:val="both"/>
            </w:pPr>
            <w:r>
              <w:rPr>
                <w:rFonts w:ascii="Times New Roman"/>
                <w:b w:val="false"/>
                <w:i w:val="false"/>
                <w:color w:val="000000"/>
                <w:sz w:val="20"/>
              </w:rPr>
              <w:t>
TOPIX 100 (Tokyo Stock Price 100 Index) (Токио Сток Прайс 100 Индекс);</w:t>
            </w:r>
          </w:p>
          <w:p>
            <w:pPr>
              <w:spacing w:after="20"/>
              <w:ind w:left="20"/>
              <w:jc w:val="both"/>
            </w:pPr>
            <w:r>
              <w:rPr>
                <w:rFonts w:ascii="Times New Roman"/>
                <w:b w:val="false"/>
                <w:i w:val="false"/>
                <w:color w:val="000000"/>
                <w:sz w:val="20"/>
              </w:rPr>
              <w:t>
NASDAQ-100 (Nasdaq-100 Index) (Насдак-100 Индекс)</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