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ab8e29" w14:textId="aab8e2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нормативные правовые акты Республики Казахстан по вопросам регулирования рынка ценных бумаг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29 января 2018 года № 11. Зарегистрировано в Министерстве юстиции Республики Казахстан 26 марта 2018 года № 16643.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целях совершенствования нормативных правовых актов Республики Казахстан Правление Национального Банка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Перечень нормативных правовых актов Республики Казахстан по вопросам регулирования рынка ценных бумаг, в которые вносятся изменения и дополнения (далее – Перечень),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регулирования небанковских финансовых организаций (Шайкакова Г.Ж.)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подпунктами 2), 3) настоящего пункта и пунктом 3 настоящего постановления.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по защите прав потребителей финансовых услуг и внешних коммуникаций (Терентьев А.Л.)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Председателя Национального Банка Республики Казахстан Курманова Ж.Б.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Настоящее постановление вводится в действие по истечении двадцати одного календарного дня после дня его первого официального опубликования. Действие абзацев тридцать второго и тридцать третьего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распространяется на отношения, возникшие со дня введения в действие настоящего постановления из ранее заключенных договоров.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Национального Банка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Акишев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информации и коммуникаций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Д. Абаев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 марта 2018 года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 Т. Сулейменов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_____________ 2018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2018 года № 11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нормативных правовых актов Республики Казахстан по вопросам регулирования рынка ценных бумаг, в которые вносятся изменения и дополнения</w:t>
      </w:r>
    </w:p>
    <w:bookmarkEnd w:id="1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Агентства РК по регулированию и развитию финансового рынка от 17.04.2026 </w:t>
      </w:r>
      <w:r>
        <w:rPr>
          <w:rFonts w:ascii="Times New Roman"/>
          <w:b w:val="false"/>
          <w:i w:val="false"/>
          <w:color w:val="ff0000"/>
          <w:sz w:val="28"/>
        </w:rPr>
        <w:t>№ 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28 апреля 2012 года № 165 "Об утверждении Инструкции к программно-техническим средствам и иному оборудованию, необходимым для осуществления деятельности на рынке ценных бумаг" (зарегистрировано в Реестре государственной регистрации нормативных правовых актов под № 7734, опубликовано 29 августа 2012 года в газете "Казахстанская правда" № 290-291 (27109-27110) следующие изменения:</w:t>
      </w:r>
    </w:p>
    <w:bookmarkEnd w:id="13"/>
    <w:bookmarkStart w:name="z3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14"/>
    <w:bookmarkStart w:name="z3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Требований к программно-техническим средствам и иному оборудованию, необходимым для осуществления деятельности на рынке ценных бумаг";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программно-техническим средствам и иному оборудованию, необходимым для осуществления деятельности на рынке ценных бумаг.";</w:t>
      </w:r>
    </w:p>
    <w:bookmarkEnd w:id="16"/>
    <w:bookmarkStart w:name="z3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Инструкции к программно–техническим средствам и иному оборудованию, необходимым для осуществления деятельности на рынке ценных бумаг, утвержденной указанным постановлением:</w:t>
      </w:r>
    </w:p>
    <w:bookmarkEnd w:id="17"/>
    <w:bookmarkStart w:name="z3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18"/>
    <w:bookmarkStart w:name="z3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"Требования к программно-техническим средствам и иному оборудованию, необходимым для осуществления деятельности на рынке ценных бумаг";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"Настоящие Требования к программно-техническим средствам и иному оборудованию, необходимым для осуществления деятельности на рынке ценных бумаг (далее - Требования), определяют требования к программно-техническим средствам и иному оборудованию, необходимым для осуществления деятельности на рынке ценных бумаг (далее - программное обеспечение), и организации безопасной работы, обеспечивающей сохранность и защиту информации от несанкционированного доступа к данным, хранящимся у профессиональных участников рынка ценных бумаг.</w:t>
      </w:r>
    </w:p>
    <w:bookmarkEnd w:id="20"/>
    <w:bookmarkStart w:name="z4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Требований не распространяется на отношения, возникающие при использовании информационных ресурсов Национального Банка Республики Казахстан на основании соответствующего соглашения, заключенного между профессиональным участником рынка ценных бумаг и Национальным Банком Республики Казахстан.";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изложить в следующей редакции:</w:t>
      </w:r>
    </w:p>
    <w:bookmarkStart w:name="z4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 применение системы двойного ввода приказов разными пользователями ("первый ввод" и "второй ввод") в целях исключения ошибок при вводе данной информации (за исключением ввода заявок на покупку и продажу финансовых инструментов в торговую систему фондовой биржи и ввода приказов клиентами центрального депозитария (регистратора) посредством программного обеспечения центрального депозитария (регистратора). При введении информации пользователи "второго ввода" не имеют доступа к информации, введенной пользователями "первого ввода". В случае несоответствия данных "второго ввода" данным "первого ввода" программа выдает соответствующее уведомление;";</w:t>
      </w:r>
    </w:p>
    <w:bookmarkEnd w:id="22"/>
    <w:bookmarkStart w:name="z4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3"/>
    <w:bookmarkStart w:name="z4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Для организаций, осуществляющих на основании соответствующей лицензии уполномоченного органа либо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 июля 2003 года "О рынке ценных бумаг" брокерскую и (или) дилерскую деятельность с правом ведения счетов клиентов в качестве номинального держателя, деятельность по ведению системы реестров держателей ценных бумаг, кастодиальную деятельность, программное обеспечение в дополнение к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Требований, обеспечивает:";</w:t>
      </w:r>
    </w:p>
    <w:bookmarkEnd w:id="24"/>
    <w:bookmarkStart w:name="z4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5"/>
    <w:bookmarkStart w:name="z4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Программное обеспечение организаций, обладающих лицензиями на осуществление брокерской и (или) дилерской деятельности с правом ведения счетов клиентов в качестве номинального держателя, кастодиальной деятельности, в дополнение к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Требований, обеспечивает:";</w:t>
      </w:r>
    </w:p>
    <w:bookmarkEnd w:id="26"/>
    <w:bookmarkStart w:name="z4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3-1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7"/>
    <w:bookmarkStart w:name="z5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"3-1. Программное обеспечение организаций, обладающих лицензиями на осуществление брокерской и (или) дилерской деятельности с правом ведения счетов клиентов в качестве номинального держателя, в дополнение к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Требований, обеспечивает:";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Типовые формы электронных документов, которыми обмениваются организации, осуществляющие на основании соответствующей лицензии уполномоченного органа либо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 июля 2003 года "О рынке ценных бумаг" брокерскую и (или) дилерскую деятельность с правом ведения счетов клиентов в качестве номинального держателя, деятельность по ведению системы реестров держателей ценных бумаг, кастодиальную деятельность, определяются внутренним документом центрального депозитария и (или) регистратора и соответствуют требованиям, определенным сводом правил центрального депозитария и (или) регистратора.";</w:t>
      </w:r>
    </w:p>
    <w:bookmarkEnd w:id="29"/>
    <w:bookmarkStart w:name="z5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0"/>
    <w:bookmarkStart w:name="z5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Программное обеспечение фондовой биржи в дополнение к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Требований, обеспечивает:";</w:t>
      </w:r>
    </w:p>
    <w:bookmarkEnd w:id="31"/>
    <w:bookmarkStart w:name="z5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2"/>
    <w:bookmarkStart w:name="z5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первый изложить в следующей редакции:</w:t>
      </w:r>
    </w:p>
    <w:bookmarkEnd w:id="33"/>
    <w:bookmarkStart w:name="z5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"7. Программное обеспечение центрального депозитария (регистратора) в дополнение к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подпунктами 1), 2) и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Требований, обеспечивает:";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 совершения операции по лицевому счету (субсчету) зарегистрированного лица проверку:</w:t>
      </w:r>
    </w:p>
    <w:bookmarkEnd w:id="35"/>
    <w:bookmarkStart w:name="z6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возможности совершения такой операции с учетом требований законодательства Республики Казахстан о рынке ценных бумаг и свода правил центрального депозитария (регистратора);</w:t>
      </w:r>
    </w:p>
    <w:bookmarkEnd w:id="36"/>
    <w:bookmarkStart w:name="z6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реквизитов документов, на основании которых совершается операция по лицевому счету (субсчету) зарегистрированного лица, на предмет наличия и соответствия требованиям свода правил центрального депозитария (регистратора);";</w:t>
      </w:r>
    </w:p>
    <w:bookmarkEnd w:id="37"/>
    <w:bookmarkStart w:name="z6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абзацы второй и третий </w:t>
      </w:r>
      <w:r>
        <w:rPr>
          <w:rFonts w:ascii="Times New Roman"/>
          <w:b w:val="false"/>
          <w:i w:val="false"/>
          <w:color w:val="000000"/>
          <w:sz w:val="28"/>
        </w:rPr>
        <w:t>подпункта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8"/>
    <w:bookmarkStart w:name="z6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"установлено несоответствие предполагаемой к совершению операции требованиям законодательства Республики Казахстан о рынке ценных бумаг и свода правил центрального депозитария (регистратора);</w:t>
      </w:r>
    </w:p>
    <w:bookmarkEnd w:id="39"/>
    <w:bookmarkStart w:name="z6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установлено отсутствие или несоответствие реквизитов в документах, на основании которых совершается операция по лицевому счету (субсчету) зарегистрированного лица, требованиям свода правил центрального депозитария (регистратора);";</w:t>
      </w:r>
    </w:p>
    <w:bookmarkEnd w:id="40"/>
    <w:bookmarkStart w:name="z6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1"/>
    <w:bookmarkStart w:name="z6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"Для целей Требований под журналом аудита понимается специализированное средство, разработанное с целью отражения штатных и критических действий в процессе функционирования программного обеспечения;";</w:t>
      </w:r>
    </w:p>
    <w:bookmarkEnd w:id="42"/>
    <w:bookmarkStart w:name="z6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3"/>
    <w:bookmarkStart w:name="z6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Программное обеспечение клиринговой организации в дополнение к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Требований, обеспечивает:".</w:t>
      </w:r>
    </w:p>
    <w:bookmarkEnd w:id="44"/>
    <w:bookmarkStart w:name="z6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28 апреля 2012 года № 168 "О минимальном размере уставного капитала заявителя (лицензиата)" (зарегистрировано в Реестре государственной регистрации нормативных правовых актов под № 7733, опубликовано 16 августа 2012 года в газете "Казахстанская правда" № 271-273 (27090-27092) следующие изменения:</w:t>
      </w:r>
    </w:p>
    <w:bookmarkEnd w:id="45"/>
    <w:bookmarkStart w:name="z7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заголовок внесено изменение на государственном языке, текст на русском языке не меняется;</w:t>
      </w:r>
    </w:p>
    <w:bookmarkEnd w:id="46"/>
    <w:bookmarkStart w:name="z7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7"/>
    <w:bookmarkStart w:name="z7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 первый внесено изменение на государственном языке, текст на русском языке не меняется;</w:t>
      </w:r>
    </w:p>
    <w:bookmarkEnd w:id="48"/>
    <w:bookmarkStart w:name="z7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8) изложить в следующей редакции:</w:t>
      </w:r>
    </w:p>
    <w:bookmarkEnd w:id="49"/>
    <w:bookmarkStart w:name="z7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осуществление трансфер-агентской деятельности профессиональным участником рынка ценных бумаг, созданным в организационно-правовой форме:</w:t>
      </w:r>
    </w:p>
    <w:bookmarkEnd w:id="50"/>
    <w:bookmarkStart w:name="z7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акционерного общества - в размере 50 000 - кратного размера месячного расчетного показателя, установленного законом о республиканском бюджете на соответствующий финансовый год; </w:t>
      </w:r>
    </w:p>
    <w:bookmarkEnd w:id="51"/>
    <w:bookmarkStart w:name="z7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товарищества с ограниченной ответственностью - в размере 10 000 - кратного размера месячного расчетного показателя, установленного законом о республиканском бюджете на соответствующий финансовый год;";</w:t>
      </w:r>
    </w:p>
    <w:bookmarkEnd w:id="52"/>
    <w:bookmarkStart w:name="z7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внесено изменение на государственном языке, текст на русском языке не меняется.</w:t>
      </w:r>
    </w:p>
    <w:bookmarkEnd w:id="53"/>
    <w:bookmarkStart w:name="z7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21 сентября 2012 года № 298 "Об утверждении Правил осуществления трансфер-агентской деятельности на рынке ценных бумаг Республики Казахстан" (зарегистрировано в Реестре государственной регистрации нормативных правовых актов под № 8051, опубликовано 14 ноября 2012 года в газете "Казахстанская правда" № 394-395 (27213-27214) следующие изменения и дополнение:</w:t>
      </w:r>
    </w:p>
    <w:bookmarkEnd w:id="54"/>
    <w:bookmarkStart w:name="z7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55"/>
    <w:bookmarkStart w:name="z8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осуществления трансфер-агентской деятельности на рынке ценных бумаг";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трансфер-агентской деятельности на рынке ценных бумаг.";</w:t>
      </w:r>
    </w:p>
    <w:bookmarkEnd w:id="57"/>
    <w:bookmarkStart w:name="z8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Правилах осуществления трансфер-агентской деятельности на рынке ценных бумаг Республики Казахстан, утвержденных указанным постановлением:</w:t>
      </w:r>
    </w:p>
    <w:bookmarkEnd w:id="58"/>
    <w:bookmarkStart w:name="z8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59"/>
    <w:bookmarkStart w:name="z8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осуществления трансфер-агентской деятельности на рынке ценных бумаг";</w:t>
      </w:r>
    </w:p>
    <w:bookmarkEnd w:id="60"/>
    <w:bookmarkStart w:name="z8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преамбулу изложить в следующей редакции:</w:t>
      </w:r>
    </w:p>
    <w:bookmarkEnd w:id="61"/>
    <w:bookmarkStart w:name="z8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"Настоящие Правила осуществления трансфер-агентской деятельности на рынке ценных бумаг (далее – Правила) устанавливают условия и порядок осуществления трансфер-агентской деятельности на рынке ценных бумаг (далее – трансфер-агентская деятельность).";</w:t>
      </w:r>
    </w:p>
    <w:bookmarkEnd w:id="62"/>
    <w:bookmarkStart w:name="z8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4-1 следующего содержания:</w:t>
      </w:r>
    </w:p>
    <w:bookmarkEnd w:id="63"/>
    <w:bookmarkStart w:name="z8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"4-1. Оплата услуг трансфер-агента, оказываемых клиенту, осуществляется за счет данного клиента.";</w:t>
      </w:r>
    </w:p>
    <w:bookmarkEnd w:id="64"/>
    <w:bookmarkStart w:name="z9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5"/>
    <w:bookmarkStart w:name="z9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четвертый </w:t>
      </w:r>
      <w:r>
        <w:rPr>
          <w:rFonts w:ascii="Times New Roman"/>
          <w:b w:val="false"/>
          <w:i w:val="false"/>
          <w:color w:val="000000"/>
          <w:sz w:val="28"/>
        </w:rPr>
        <w:t>подпункта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6"/>
    <w:bookmarkStart w:name="z9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"документ, содержащий нотариально засвидетельствованные образцы подписей представителей профессионального участника рынка ценных бумаг - клиента трансфер-агента, обладающих правом подписывать документы от имени профессионального участника рынка ценных бумаг - клиента трансфер-агента, и оттиск его печати (при наличии);";</w:t>
      </w:r>
    </w:p>
    <w:bookmarkEnd w:id="67"/>
    <w:bookmarkStart w:name="z9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подпункта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8"/>
    <w:bookmarkStart w:name="z9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"документ, содержащий нотариально засвидетельствованные образцы подписей представителей юридического лица, обладающих правом подписывать документы от его имени, и оттиск печати (при наличии) данного юридического лица;";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 изложить в следующей редакции: </w:t>
      </w:r>
    </w:p>
    <w:bookmarkStart w:name="z9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порядок и сроки сверки принятых и переданных документов (информации), осуществляемой трансфер-агентом и клиентами, а также порядок проверки на предмет полноты и правильности заполнения лицами, пользующимися или намеренными воспользоваться услугами профессионального участника рынка ценных бумаг - клиента трансфер-агента, приказа на совершение сделок на рынке ценных бумаг в соответствии с предоставленными профессиональным участником рынка ценных бумаг инструкциями (разъяснениями, указаниями);";</w:t>
      </w:r>
    </w:p>
    <w:bookmarkEnd w:id="70"/>
    <w:bookmarkStart w:name="z9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1"/>
    <w:bookmarkStart w:name="z9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"17. При получении документов (информации), предназначенных для их передачи, трансфер-агент сверяет подписи и оттиск печати (при наличии) на них с образцами, имеющимися в документах, указанных в абзаце четвертом подпункта 1), подпункте 2) и абзаце втором подпункта 3)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а также проверяет на полноту и правильность заполнения лицами, пользующимися или намеренными воспользоваться услугами профессионального участника рынка ценных бумаг - клиента трансфер-агента, приказа на совершение сделок на рынке ценных бумаг в соответствии с предоставленными профессиональным участником рынка ценных бумаг инструкциями (разъяснениями, указаниями).".</w:t>
      </w:r>
    </w:p>
    <w:bookmarkEnd w:id="72"/>
    <w:bookmarkStart w:name="z10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 февраля 2014 года № 10 "Об утверждении Правил осуществления деятельности по управлению инвестиционным портфелем" (зарегистрировано в Реестре государственной регистрации нормативных правовых актов под № 9248, опубликовано 16 апреля 2014 года в информационно-правовой системе "Әділет") следующее изменение:</w:t>
      </w:r>
    </w:p>
    <w:bookmarkEnd w:id="73"/>
    <w:bookmarkStart w:name="z10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деятельности по управлению инвестиционным портфелем, утвержденных указанных постановлением:</w:t>
      </w:r>
    </w:p>
    <w:bookmarkEnd w:id="74"/>
    <w:bookmarkStart w:name="z10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36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"36. Управляющий инвестиционным портфелем для включения в реестр сделок с производными финансовыми инструментами, заключенными самостоятельно без использования услуг брокера на неорганизованном рынке, ведение которого осуществляется центральным депозитарием (далее - реестр), не позднее 14-00 часов по времени города Астаны первого рабочего дня недели, следующей за отчетной неделей, представляют в центральный депозитарий информацию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деятельности центрального депозитария, утвержденных постановлением Правления Национального Банка Республики Казахстан от 19 декабря 2015 года № 254, зарегистрированным в Реестре государственной регистрации нормативных правовых актов под № 12957, и внутренними документами центрального депозитария.".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Утратил силу постановлением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7. Утратил силу постановлением Правления Национального Банка РК от 29.11.2018 </w:t>
      </w:r>
      <w:r>
        <w:rPr>
          <w:rFonts w:ascii="Times New Roman"/>
          <w:b w:val="false"/>
          <w:i w:val="false"/>
          <w:color w:val="000000"/>
          <w:sz w:val="28"/>
        </w:rPr>
        <w:t>№ 307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нормативных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правовых актов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регулирования рынка ценных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бумаг, 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регистратора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ведению системы реестров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держателей ценных бумаг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156" w:id="76"/>
      <w:r>
        <w:rPr>
          <w:rFonts w:ascii="Times New Roman"/>
          <w:b w:val="false"/>
          <w:i w:val="false"/>
          <w:color w:val="000000"/>
          <w:sz w:val="28"/>
        </w:rPr>
        <w:t>
      Выписка с лицевого счета держателя ценных бумаг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 по состоянию на ____ ______________ 20 __ года, время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                  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составления выписки)                               (время)</w:t>
      </w:r>
    </w:p>
    <w:bookmarkStart w:name="z15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держателе ценных бумаг: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держателя ценных бумаг - юридического лица, фамилия, имя, отчество (при его наличии) держателя ценных бумаг - физического лица</w:t>
            </w:r>
          </w:p>
          <w:bookmarkEnd w:id="78"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реквизиты документа, удостоверяющего личность держателя ценных бумаг - физического лица или номер и дата государственной регистрации (перерегистрации) держателя ценных бумаг - юридического лица</w:t>
            </w:r>
          </w:p>
          <w:bookmarkEnd w:id="79"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лицевого счета</w:t>
            </w:r>
          </w:p>
          <w:bookmarkEnd w:id="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/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81"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эмитента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эмитента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 национальный идентификационный номер ценных бумаг (идентификатор прав требования по обязательствам эмитента по эмиссионным ценным бумагам)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погашения облигаций (исламских ценных бумаг)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продолжение таблицы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ценных бумаг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(прав требования по обязательствам эмитента по эмиссионным ценным бумагам)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ценных бумаг, принадлежащих держателю ценных бумаг, к количеству ценных бумаг эмитента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процентах)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сведения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</w:t>
            </w:r>
          </w:p>
          <w:bookmarkEnd w:id="86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обремененных с указанием лица, в пользу которого осуществлено обременение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блокированных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переданных в доверительное управление с указанием наименования доверительного управляющего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голосующих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8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88"/>
          <w:p>
            <w:pPr>
              <w:spacing w:after="20"/>
              <w:ind w:left="20"/>
              <w:jc w:val="both"/>
            </w:pPr>
          </w:p>
          <w:bookmarkEnd w:id="88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9" w:id="8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регистратора, место нахождения и фактический адрес,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   телефона, номер факса, адрес электронной почты, интернет-ресурс)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170" w:id="90"/>
      <w:r>
        <w:rPr>
          <w:rFonts w:ascii="Times New Roman"/>
          <w:b w:val="false"/>
          <w:i w:val="false"/>
          <w:color w:val="000000"/>
          <w:sz w:val="28"/>
        </w:rPr>
        <w:t>
      Лицо, уполномоченное на подписание __________________________________ ___________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                  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(при его наличии), занимаемая должность)</w:t>
      </w:r>
    </w:p>
    <w:bookmarkStart w:name="z17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штампа регистратора</w:t>
      </w:r>
    </w:p>
    <w:bookmarkEnd w:id="9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