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0e9b5" w14:textId="e90e9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обмена информацией, необходимой для обеспечения кибербезопасности, между центрами обеспечения кибербезопасности, отраслевыми центрами кибербезопасности и Национальным координационным центром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оборонной и аэрокосмической промышленности Республики Казахстан от 19 марта 2018 года № 48/НҚ. Зарегистрирован в Министерстве юстиции Республики Казахстан 11 мая 2018 года № 16886.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искусственного интеллекта и цифрового развития РК от 25.06.2026 </w:t>
      </w:r>
      <w:r>
        <w:rPr>
          <w:rFonts w:ascii="Times New Roman"/>
          <w:b w:val="false"/>
          <w:i w:val="false"/>
          <w:color w:val="ff0000"/>
          <w:sz w:val="28"/>
        </w:rPr>
        <w:t>№ 354/НҚ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21) </w:t>
      </w:r>
      <w:r>
        <w:rPr>
          <w:rFonts w:ascii="Times New Roman"/>
          <w:b w:val="false"/>
          <w:i w:val="false"/>
          <w:color w:val="000000"/>
          <w:sz w:val="28"/>
        </w:rPr>
        <w:t>статьи 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кибербезопасности" и подпунктом 292)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15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искусственного интеллекта и цифрового развития РК от 25.06.2026 </w:t>
      </w:r>
      <w:r>
        <w:rPr>
          <w:rFonts w:ascii="Times New Roman"/>
          <w:b w:val="false"/>
          <w:i w:val="false"/>
          <w:color w:val="000000"/>
          <w:sz w:val="28"/>
        </w:rPr>
        <w:t>№ 354/НҚ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обмена информацией, необходимой для обеспечения кибербезопасности, между центрами обеспечения кибербезопасности, отраслевыми центрами кибербезопасности и Национальным координационным центром кибербезопасности.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искусственного интеллекта и цифрового развития РК от 25.06.2026 </w:t>
      </w:r>
      <w:r>
        <w:rPr>
          <w:rFonts w:ascii="Times New Roman"/>
          <w:b w:val="false"/>
          <w:i w:val="false"/>
          <w:color w:val="000000"/>
          <w:sz w:val="28"/>
        </w:rPr>
        <w:t>№ 354/НҚ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оборонной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в Министерстве юстиции Республики Казахстан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оборонной и аэрокосмической промышленности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оборонной и аэрокосмической промышленности Республики Казахстан сведений об исполнении мероприятий, предусмотренных подпунктами 1), 2), 3) и 4)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оборонной и аэрокосмической промышленности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оборонной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оборонной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2018 года № 48/НҚ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обмена информацией, необходимой для обеспечения кибербезопасности, между центрами обеспечения кибербезопасности, отраслевыми центрами кибербезопасности и Национальным координационным центром кибербезопасности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и.о. Министра искусственного интеллекта и цифрового развития РК от 25.06.2026 </w:t>
      </w:r>
      <w:r>
        <w:rPr>
          <w:rFonts w:ascii="Times New Roman"/>
          <w:b w:val="false"/>
          <w:i w:val="false"/>
          <w:color w:val="ff0000"/>
          <w:sz w:val="28"/>
        </w:rPr>
        <w:t>№ 354/НҚ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обмена информацией, необходимой для обеспечения кибербезопасности между, между центрами обеспечения кибербезопасности, отраслевыми центрами кибербезопасности и Национальным координационным центром кибербезопасности (далее – Правила) разработаны в соответствии с подпунктом 21) </w:t>
      </w:r>
      <w:r>
        <w:rPr>
          <w:rFonts w:ascii="Times New Roman"/>
          <w:b w:val="false"/>
          <w:i w:val="false"/>
          <w:color w:val="000000"/>
          <w:sz w:val="28"/>
        </w:rPr>
        <w:t>статьи 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кибербезопасности" (далее – Закон) и подпунктом 292) пункта 15 Положения о Министерстве искусственного интеллекта и цифрового развития Республики Казахстан,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9 октября 2025 года № 846 и определяют порядок взаимодействия Национального координационного центра кибербезопасности с центрами обеспечения кибербезопасности и отраслевыми центрами кибербезопасности при обмене информацией, необходимой для обеспечения кибербезопасности и реагирования на инциденты кибербезопасности.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критически важные цифровые объекты (далее – КВЦО) – цифровые объекты, нарушение или прекращение функционирования которых приводит к незаконному сбору и обработке персональных данных ограниченного доступа и иных сведений, содержащих охраняемую законом тайну, возникновению чрезвычайных ситуаций социального и (или) техногенного характера или к значительным негативным последствиям для обороны, безопасности, международных отношений, экономики, отдельных сфер хозяйства или для жизнедеятельности населения, проживающего на соответствующей территории, в том числе инфраструктуры: теплоснабжения, электроснабжения, газоснабжения, водоснабжения, промышленности, здравоохранения, связи, банковской сферы, транспорта, гидротехнических сооружений, правоохранительной деятельности, "цифрового правительства";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инцидент кибербезопасности – событие или совокупность событий, негативно влияющих на кибербезопасность цифрового объекта;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событие кибербезопасности – идентифицированное возникновение состояния цифрового объекта, указывающее на возможное нарушение кибербезопасности или ранее неизвестную ситуацию, которая может иметь отношение к обеспечению кибербезопасности;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сфере обеспечения кибербезопасности (далее – уполномоченный орган) – центральный исполнительный орган, осуществляющий руководство и межотраслевую координацию в сфере обеспечения кибербезопасности;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Национальный координационный центр кибербезопасности (далее – НКЦКБ) – структурное подразделение акционерного общества "Государственная техническая служба";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платформа информационного взаимодействия Национального координационного центра кибербезопасности (далее – платформа НКЦКБ) –программное обеспечение, предназначенное для обмена данными и информацией об угрозах и инцидентах кибербезопасности с НКЦКБ;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центр обеспечения кибербезопасности (далее – ЦОК) – юридическое лицо или структурное подразделение юридического лица, осуществляющее деятельность по защите цифровых ресурсов, цифровых систем, сетей телекоммуникаций и других цифровых объектов;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угроза кибербезопасности – совокупность условий и факторов, создающих предпосылки к возникновению инцидента кибербезопасности;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органы национальной безопасности Республики Казахстан (далее – органы национальной безопасности) – непосредственно подчиненные и подотчетные Президенту Республики Казахстан специальные государственные органы, являющиеся составной частью системы обеспечения безопасности Республики Казахстан и предназначенные в пределах предоставленных им полномочий, обеспечивать безопасность личности и общества, защиту конституционного строя, государственного суверенитета, территориальной целостности, экономического, научно-технического и оборонного потенциала страны;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уязвимость цифровых объектов – недостаток в программном или аппаратном обеспечении, обуславливающий возможность нарушения его работоспособности, либо выполнения каких-либо несанкционированных действий в обход разрешений, установленных в программном или аппаратном обеспечении;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кибербезопасность в сфере цифровизации (далее – кибербезопасность) – состояние защищенности цифровых ресурсов, цифровых систем и цифровой инфраструктуры от внешних и внутренних угроз;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цифровые объекты "цифрового правительства" (далее ЦО ЦП) – государственные электронные информационные ресурсы, программное обеспечение государственных органов, интернет-ресурс государственного органа, объекты цифровой инфраструктуры цифрового правительства", в том числе цифровые объекты иных лиц, предназначенные для формирования государственных цифровых ресурсов, осуществления государственных функций и оказания государственных услуг.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Главы 2. Порядок обмена информацией, необходимой для обеспечения кибербезопасности, между центрами обеспечения кибербезопасности, отраслевыми центрами кибербезопасности и Национальным координационным центром кибербезопасности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Участниками информационного обмена, необходимого для обеспечения кибербезопасности являются: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органы национальной безопасности;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НКЦКБ;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ЦОК.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ЦОК и НКЦКБ осуществляют обмен информацией, для выполнения возложенных на них задач и функций в сфере кибербезопасности.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ЦОК обеспечивают доведение полученной от НКЦКБ информации до обслуживаемых ими организаций и в свои структурные подразделения, обеспечивающие сопровождение инфраструктуры, в части их касающейся информации.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ЦОК и НКЦКБ необходимо осуществлять взаимодействие в интересах решения задач, направленных на: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совершенствование механизмов предотвращения нарушений кибербезопасности;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улучшение деятельности ЦОК;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повышение оперативности и согласованности действий между ЦОК и НКЦКБ;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выработку совместных решений по повышению уровня кибербезопасности цифровых объектов;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Информация, необходимая для обеспечения кибербезопасности, относится к категории конфиденциальных цифровых данных, получение, обработка и использование которых ограничивается целями, для которых она собирается. Представление сведений от НКЦКБ в ЦОКБ и от ЦОК в НКЦКБ осуществляется в рамках настоящих Правил.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При обнаружении инцидента кибербезопасности ЦОК: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НКЦКБ и собственника или владельца ЦО ЦП или КВЦО в течение 15 (пятнадцати) минут с момента подтверждения инцидента кибербезопасности;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направляет в НКЦКБ карточку инцидента кибербезопасности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течение 72 (семидесяти двух) часов с момента подтверждения инцидента кибербезопасности.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уведомления от НКЦКБ об угрозе кибербезопасности, событии кибербезопасности или инциденте кибербезопасности, ЦОК в течение 72 (семидесяти двух) часов с момента уведомления направляет в НКЦКБ: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анализа угрозы кибербезопасности;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анализа события кибербезопасности при подтверждении события кибербезопасности;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карточку инцидента кибербезопасности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при подтверждении инцидента кибербезопасности.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Сбор данных осуществляется: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проведении анализа сведений по возникшим угрозам, уязвимостям и инцидентам кибербезопасности;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наличии оснований полагать, что инцидент кибербезопасности способен повлиять на работоспособность цифровых ресурсов, цифровых систем, сетей телекоммуникаций и других цифровых объектов;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распространении угрозы, уязвимости и инцидента кибербезопасности;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запросу органа национальной безопасности, уполномоченного органа и НКЦКБ об угрозах, уязвимостях, событиях и инцидентах кибербезопасности;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оказании помощи при устранении последствий инцидентов кибербезопасности.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ЦОК по запросу НКЦКБ обеспечивает доступ НКЦКБ к имеющимся системам мониторинга обеспечения кибербезопасности.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НКЦКБ оповещает заинтересованные стороны: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ЦОК в случае выявления угроз кибербезопасности, событий кибербезопасности или инцидентов кибербезопасности, которые способны повлиять на целостность, доступность, конфиденциальность цифровых ресурсов, цифровых систем, сетей телекоммуникаций и других цифровых объектов, в части касающейся их информации;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органы национальной безопасности в случае инцидентов кибербезопасности, связанных с цирфровыми ресурсами, цифровыми системами, сетями телекоммуникаций и другими цифровых объектами;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случае нарушения законодательства в сфере кибербезопасности;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сфере кибербезопасности Республики Казахстан в случае нарушения законодательства в сфере кибербезопасности;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органы прокуратуры Республики Казахстан в пределах их компетенции в случае нарушения соответствующего законодательства;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органы внутренних дел Республики Казахстан в пределах их компетенции в случае нарушения соответствующего законодательства.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Информационный обмен осуществляется следующими способами: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отправка данных в форматах расширенного языка разметки (eXtensible Markup Language – XML) или текстового формата обмена данными (JavaScript Object Notation – JSON) с помощью электронного сообщения с использованием шифрования;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отправка данных в форматах XML или JSON с использованием программного обеспечения для обмена информацией;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отправка зашифрованных данных с использованием протокола HTTPS (HyperText Transfer Protocol Secure);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отправка данных с использованием протоколов, согласованных к использованию уполномоченным органом.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Полученная в процессе информационного обмена информация используется исключительно в целях координации реагирования на инциденты кибербезопасности.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Обмен сообщениями осуществляется между НКЦКБ и ЦОК с использованием платформы НКЦКБ и отечественного сертификата шифрования.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ЦОК предоставляет контактные данные (адрес электронной почты, телефон доступный в режиме 24/7/365), а также ежеквартально, не позднее 10 числа первого месяца квартала, подтверждает, обновляет и направляет контактные данные в НКЦКБ. В случае изменения контактных данных, оперативно информирует НКЦКБ.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ЦОК ежеквартально, в срок до 10 числа месяца, следующего за отчетным кварталом, предоставляет в НКЦКБ информацию об инцидентах кибербезопасности, зарегистрированных за отчетный квартал, и о мерах, принятых для устранения причин их возникновения.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обмена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информацией, необходимой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обеспечения кибербезопасности,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между центрами обеспечения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кибербезопасности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Национальным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координационным центром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      Карточка инцидента кибербезопасности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регистрации инцидента кибербезопасности</w:t>
            </w:r>
          </w:p>
          <w:bookmarkEnd w:id="7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критичности инцидента кибербезопасности</w:t>
            </w:r>
          </w:p>
          <w:bookmarkEnd w:id="7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(4);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Средний (3);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Низкий (2);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определено (1).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инцидента кибербезопасности</w:t>
            </w:r>
          </w:p>
          <w:bookmarkEnd w:id="7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в облуживании (DoS, DDoS);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Несанкционированный доступ и модификация содержания;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Ботнет;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Вирусная атака;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Шифровальщик;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Эксплуатация уязвимости;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Компрометация средств аутентификации/авторизации;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Фишинг;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инциденты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Масштабность</w:t>
            </w:r>
          </w:p>
          <w:bookmarkEnd w:id="7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Единичный;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Массовый.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Детали</w:t>
            </w:r>
          </w:p>
          <w:bookmarkEnd w:id="7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возникновения;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время подтверждения;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Повторный/новый;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 компрометации (IOC).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Признак</w:t>
            </w:r>
          </w:p>
          <w:bookmarkEnd w:id="8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Действительный;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Попытка;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Подозрение;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Контур</w:t>
            </w:r>
          </w:p>
          <w:bookmarkEnd w:id="8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Локальная сеть внутреннего контура;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Локальная сеть внешнего контура.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инцидента кибербезопасности</w:t>
            </w:r>
          </w:p>
          <w:bookmarkEnd w:id="8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Последствие</w:t>
            </w:r>
          </w:p>
          <w:bookmarkEnd w:id="8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последствий;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Нарушение работоспособности;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Нарушение целостности;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режима конфиденциальности информации.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Объект, которому нанесен ущерб</w:t>
            </w:r>
          </w:p>
          <w:bookmarkEnd w:id="8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Действия, предпринятые для устранения инцидента кибер безопасности</w:t>
            </w:r>
          </w:p>
          <w:bookmarkEnd w:id="8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Примечание</w:t>
            </w:r>
          </w:p>
          <w:bookmarkEnd w:id="8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Уровни критичности инцидента информационной безопасности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критичности</w:t>
            </w:r>
          </w:p>
          <w:bookmarkEnd w:id="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Примеры инцидентов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Высокий (4)</w:t>
            </w:r>
          </w:p>
          <w:bookmarkEnd w:id="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инциденты кибербезопасности, которые приводят к невозможности предоставления услуг/выполнения работ, и (или) потере/модификации критичных данных, и (или) нарушению конфиденциальности объекта информатизации, обрабатывающего критичные данные.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-Несанкционированный доступ</w:t>
            </w:r>
          </w:p>
          <w:bookmarkEnd w:id="93"/>
          <w:bookmarkStart w:name="z145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-Эксплуатация уязвимости</w:t>
            </w:r>
          </w:p>
          <w:bookmarkEnd w:id="94"/>
          <w:bookmarkStart w:name="z146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-Шифровальщик</w:t>
            </w:r>
          </w:p>
          <w:bookmarkEnd w:id="95"/>
          <w:bookmarkStart w:name="z147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-Вредоносное программное обеспечение</w:t>
            </w:r>
          </w:p>
          <w:bookmarkEnd w:id="96"/>
          <w:bookmarkStart w:name="z148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-Отказ в обслуживании (DoS/DDoS-атака)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-Иные инциденты кибербезопасности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(3)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инциденты кибербезопасности, которые приводят к существенному ограничению предоставления услуг/выполнения работ, и (или) потере/модификации данных, не являющихся критичными, и (или) нарушению конфиденциальности объекта информатизации, обрабатывающего данные, не являющихся критичными.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-Несанкционированный доступ</w:t>
            </w:r>
          </w:p>
          <w:bookmarkEnd w:id="98"/>
          <w:bookmarkStart w:name="z15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-Шифровальщик</w:t>
            </w:r>
          </w:p>
          <w:bookmarkEnd w:id="99"/>
          <w:bookmarkStart w:name="z156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-Вредоносное программное обеспечение</w:t>
            </w:r>
          </w:p>
          <w:bookmarkEnd w:id="100"/>
          <w:bookmarkStart w:name="z157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-Отказ в обслуживании (DoS/DDoS-атака)</w:t>
            </w:r>
          </w:p>
          <w:bookmarkEnd w:id="101"/>
          <w:bookmarkStart w:name="z158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-Эксплуатация уязвимости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-Иные инциденты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Низкий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инциденты кибербезопасности, не влияющие на предоставление услуг/выполнение работ.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-Вредоносное программное обеспечение</w:t>
            </w:r>
          </w:p>
          <w:bookmarkEnd w:id="103"/>
          <w:bookmarkStart w:name="z16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-Отказ в обслуживании (DoS/DdoS-атака)</w:t>
            </w:r>
          </w:p>
          <w:bookmarkEnd w:id="104"/>
          <w:bookmarkStart w:name="z166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-Эксплуатация уязвимости</w:t>
            </w:r>
          </w:p>
          <w:bookmarkEnd w:id="105"/>
          <w:bookmarkStart w:name="z167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-Спам</w:t>
            </w:r>
          </w:p>
          <w:bookmarkEnd w:id="106"/>
          <w:bookmarkStart w:name="z16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-Фишинговая атака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-Иные инциденты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определено (1) 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Влияние инцидента кибербезопасности на предоставление услуг не определено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Нехарактерная/подозрительная активность</w:t>
            </w:r>
          </w:p>
        </w:tc>
      </w:tr>
    </w:tbl>
    <w:bookmarkStart w:name="z17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08"/>
    <w:bookmarkStart w:name="z17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Уровень необходимо пересмотреть в течение 48 (сорока восьми) часов с момента подтверждения инцидента кибербезопасности.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