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e180f" w14:textId="dbe18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раскрытия эмитентом информации, Требований к содержанию информации, подлежащей раскрытию эмитентом, а также сроков раскрытия эмитентом информации на интернет-ресурсе депозитария финансовой отчетности</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27 августа 2018 года № 189. Зарегистрировано в Министерстве юстиции Республики Казахстан 19 октября 2018 года № 17579.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ff0000"/>
          <w:sz w:val="28"/>
        </w:rPr>
        <w:t>Настоящее постановление вводится в действие с 1 января 2019 года.</w:t>
      </w:r>
    </w:p>
    <w:bookmarkStart w:name="z4" w:id="0"/>
    <w:p>
      <w:pPr>
        <w:spacing w:after="0"/>
        <w:ind w:left="0"/>
        <w:jc w:val="both"/>
      </w:pPr>
      <w:r>
        <w:rPr>
          <w:rFonts w:ascii="Times New Roman"/>
          <w:b w:val="false"/>
          <w:i w:val="false"/>
          <w:color w:val="000000"/>
          <w:sz w:val="28"/>
        </w:rPr>
        <w:t xml:space="preserve">
      В соответствии с пунктом 7 статьи 102 Закона Республики Казахстан "О рынке ценных бумаг"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раскрытия эмитентом информации согласно приложению 1 к настоящему постановлению;</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Требования</w:t>
      </w:r>
      <w:r>
        <w:rPr>
          <w:rFonts w:ascii="Times New Roman"/>
          <w:b w:val="false"/>
          <w:i w:val="false"/>
          <w:color w:val="000000"/>
          <w:sz w:val="28"/>
        </w:rPr>
        <w:t xml:space="preserve"> к содержанию информации, подлежащей раскрытию эмитентом, а также сроки раскрытия эмитентом информации на интернет - ресурсе депозитария финансовой отчетности согласно приложению 2 к настоящему постановлению.</w:t>
      </w:r>
    </w:p>
    <w:bookmarkEnd w:id="3"/>
    <w:bookmarkStart w:name="z8" w:id="4"/>
    <w:p>
      <w:pPr>
        <w:spacing w:after="0"/>
        <w:ind w:left="0"/>
        <w:jc w:val="both"/>
      </w:pPr>
      <w:r>
        <w:rPr>
          <w:rFonts w:ascii="Times New Roman"/>
          <w:b w:val="false"/>
          <w:i w:val="false"/>
          <w:color w:val="000000"/>
          <w:sz w:val="28"/>
        </w:rPr>
        <w:t>
      2. Признать утратившими силу:</w:t>
      </w:r>
    </w:p>
    <w:bookmarkEnd w:id="4"/>
    <w:bookmarkStart w:name="z9" w:id="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26 "Об утверждении Правил размещения на интернет-ресурсах депозитария финансовой отчетности, фондовой биржи информации о корпоративных событиях, финансовой отчетности и аудиторских отчетов, списков аффилиированных лиц акционерных обществ, а также информации о суммарном размере вознаграждения членов исполнительного органа по итогам года" (зарегистрировано в Реестре государственной регистрации нормативных правовых актов под № 13438, опубликовано 7 апреля 2016 года в информационно-правовой системе "Әділет");</w:t>
      </w:r>
    </w:p>
    <w:bookmarkEnd w:id="5"/>
    <w:bookmarkStart w:name="z10" w:id="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апреля 2017 года № 70 "О внесении изменений в постановление Правления Национального Банка Республики Казахстан от 28 января 2016 года № 26 "Об утверждении Правил размещения на интернет-ресурсах депозитария финансовой отчетности, фондовой биржи информации о корпоративных событиях, финансовой отчетности и аудиторских отчетов, списков аффилиированных лиц акционерных обществ, а также информации о суммарном размере вознаграждения членов исполнительного органа по итогам года" (зарегистрировано в Реестре государственной регистрации нормативных правовых актов под № 15270, опубликовано 5 июля 2017 года в Эталонном контрольном банке нормативных правовых актов Республики Казахстан).</w:t>
      </w:r>
    </w:p>
    <w:bookmarkEnd w:id="6"/>
    <w:bookmarkStart w:name="z11" w:id="7"/>
    <w:p>
      <w:pPr>
        <w:spacing w:after="0"/>
        <w:ind w:left="0"/>
        <w:jc w:val="both"/>
      </w:pPr>
      <w:r>
        <w:rPr>
          <w:rFonts w:ascii="Times New Roman"/>
          <w:b w:val="false"/>
          <w:i w:val="false"/>
          <w:color w:val="000000"/>
          <w:sz w:val="28"/>
        </w:rPr>
        <w:t>
      3. Департаменту регулирования небанковских финансовых организаций (Кошербаева А.М.) в установленном законодательством Республики Казахстан порядке обеспечить:</w:t>
      </w:r>
    </w:p>
    <w:bookmarkEnd w:id="7"/>
    <w:bookmarkStart w:name="z12" w:id="8"/>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8"/>
    <w:bookmarkStart w:name="z13" w:id="9"/>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9"/>
    <w:bookmarkStart w:name="z14" w:id="10"/>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0"/>
    <w:bookmarkStart w:name="z15" w:id="11"/>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11"/>
    <w:bookmarkStart w:name="z16" w:id="12"/>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12"/>
    <w:bookmarkStart w:name="z17" w:id="13"/>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Курманова Ж.Б.</w:t>
      </w:r>
    </w:p>
    <w:bookmarkEnd w:id="13"/>
    <w:bookmarkStart w:name="z18" w:id="14"/>
    <w:p>
      <w:pPr>
        <w:spacing w:after="0"/>
        <w:ind w:left="0"/>
        <w:jc w:val="both"/>
      </w:pPr>
      <w:r>
        <w:rPr>
          <w:rFonts w:ascii="Times New Roman"/>
          <w:b w:val="false"/>
          <w:i w:val="false"/>
          <w:color w:val="000000"/>
          <w:sz w:val="28"/>
        </w:rPr>
        <w:t>
      6. Настоящее постановление вводится в действие с 1 января 2019 года и подлежит официальному опубликованию.</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p>
      <w:pPr>
        <w:spacing w:after="0"/>
        <w:ind w:left="0"/>
        <w:jc w:val="both"/>
      </w:pPr>
      <w:bookmarkStart w:name="z20" w:id="15"/>
      <w:r>
        <w:rPr>
          <w:rFonts w:ascii="Times New Roman"/>
          <w:b w:val="false"/>
          <w:i w:val="false"/>
          <w:color w:val="000000"/>
          <w:sz w:val="28"/>
        </w:rPr>
        <w:t>
      "СОГЛАСОВАНО"</w:t>
      </w:r>
    </w:p>
    <w:bookmarkEnd w:id="15"/>
    <w:p>
      <w:pPr>
        <w:spacing w:after="0"/>
        <w:ind w:left="0"/>
        <w:jc w:val="both"/>
      </w:pPr>
      <w:r>
        <w:rPr>
          <w:rFonts w:ascii="Times New Roman"/>
          <w:b w:val="false"/>
          <w:i w:val="false"/>
          <w:color w:val="000000"/>
          <w:sz w:val="28"/>
        </w:rPr>
        <w:t xml:space="preserve">Министр финансов </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r>
        <w:rPr>
          <w:rFonts w:ascii="Times New Roman"/>
          <w:b w:val="false"/>
          <w:i w:val="false"/>
          <w:color w:val="000000"/>
          <w:sz w:val="28"/>
        </w:rPr>
        <w:t>_______________ А. Смаилов</w:t>
      </w:r>
    </w:p>
    <w:p>
      <w:pPr>
        <w:spacing w:after="0"/>
        <w:ind w:left="0"/>
        <w:jc w:val="both"/>
      </w:pPr>
      <w:r>
        <w:rPr>
          <w:rFonts w:ascii="Times New Roman"/>
          <w:b w:val="false"/>
          <w:i w:val="false"/>
          <w:color w:val="000000"/>
          <w:sz w:val="28"/>
        </w:rPr>
        <w:t>"___" _________ 2018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l</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2018 года № 189</w:t>
            </w:r>
          </w:p>
        </w:tc>
      </w:tr>
    </w:tbl>
    <w:bookmarkStart w:name="z22" w:id="16"/>
    <w:p>
      <w:pPr>
        <w:spacing w:after="0"/>
        <w:ind w:left="0"/>
        <w:jc w:val="left"/>
      </w:pPr>
      <w:r>
        <w:rPr>
          <w:rFonts w:ascii="Times New Roman"/>
          <w:b/>
          <w:i w:val="false"/>
          <w:color w:val="000000"/>
        </w:rPr>
        <w:t xml:space="preserve"> Правила раскрытия эмитентом информации</w:t>
      </w:r>
    </w:p>
    <w:bookmarkEnd w:id="16"/>
    <w:bookmarkStart w:name="z23" w:id="17"/>
    <w:p>
      <w:pPr>
        <w:spacing w:after="0"/>
        <w:ind w:left="0"/>
        <w:jc w:val="both"/>
      </w:pPr>
      <w:r>
        <w:rPr>
          <w:rFonts w:ascii="Times New Roman"/>
          <w:b w:val="false"/>
          <w:i w:val="false"/>
          <w:color w:val="000000"/>
          <w:sz w:val="28"/>
        </w:rPr>
        <w:t xml:space="preserve">
      1. Настоящие Правила раскрытия эмитентом информации (далее - Правила) разработаны в соответствии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 июля 2003 года "О рынке ценных бумаг" (далее – Закон о рынке ценных бумаг) и определяют порядок и сроки размещения эмитентами на интернет-ресурсе депозитария финансовой отчетности, определенного в соответствии с законодательством Республики Казахстан о бухгалтерском учете и финансовой отчетности (далее - депозитарий финансовой отчетности), информации предусмотренной </w:t>
      </w:r>
      <w:r>
        <w:rPr>
          <w:rFonts w:ascii="Times New Roman"/>
          <w:b w:val="false"/>
          <w:i w:val="false"/>
          <w:color w:val="000000"/>
          <w:sz w:val="28"/>
        </w:rPr>
        <w:t>статьей 102</w:t>
      </w:r>
      <w:r>
        <w:rPr>
          <w:rFonts w:ascii="Times New Roman"/>
          <w:b w:val="false"/>
          <w:i w:val="false"/>
          <w:color w:val="000000"/>
          <w:sz w:val="28"/>
        </w:rPr>
        <w:t xml:space="preserve"> Закона о рынке ценных бумаг.</w:t>
      </w:r>
    </w:p>
    <w:bookmarkEnd w:id="17"/>
    <w:bookmarkStart w:name="z24" w:id="18"/>
    <w:p>
      <w:pPr>
        <w:spacing w:after="0"/>
        <w:ind w:left="0"/>
        <w:jc w:val="both"/>
      </w:pPr>
      <w:r>
        <w:rPr>
          <w:rFonts w:ascii="Times New Roman"/>
          <w:b w:val="false"/>
          <w:i w:val="false"/>
          <w:color w:val="000000"/>
          <w:sz w:val="28"/>
        </w:rPr>
        <w:t>
      2. В Правилах используются следующие понятия:</w:t>
      </w:r>
    </w:p>
    <w:bookmarkEnd w:id="18"/>
    <w:bookmarkStart w:name="z199" w:id="19"/>
    <w:p>
      <w:pPr>
        <w:spacing w:after="0"/>
        <w:ind w:left="0"/>
        <w:jc w:val="both"/>
      </w:pPr>
      <w:r>
        <w:rPr>
          <w:rFonts w:ascii="Times New Roman"/>
          <w:b w:val="false"/>
          <w:i w:val="false"/>
          <w:color w:val="000000"/>
          <w:sz w:val="28"/>
        </w:rPr>
        <w:t>
      1) организация, осуществляющая ведение депозитария финансовой отчетности – акционерное общество "Информационно-учетный центр", уполномоченное Правительством Республики Казахстан на осуществление деятельности по ведению депозитария финансовой отчетности;</w:t>
      </w:r>
    </w:p>
    <w:bookmarkEnd w:id="19"/>
    <w:bookmarkStart w:name="z200" w:id="20"/>
    <w:p>
      <w:pPr>
        <w:spacing w:after="0"/>
        <w:ind w:left="0"/>
        <w:jc w:val="both"/>
      </w:pPr>
      <w:r>
        <w:rPr>
          <w:rFonts w:ascii="Times New Roman"/>
          <w:b w:val="false"/>
          <w:i w:val="false"/>
          <w:color w:val="000000"/>
          <w:sz w:val="28"/>
        </w:rPr>
        <w:t>
      2) интернет-ресурс депозитария финансовой отчетности – средство массовой информации, размещенное в сети интернет по адресу "www.dfo.kz";</w:t>
      </w:r>
    </w:p>
    <w:bookmarkEnd w:id="20"/>
    <w:bookmarkStart w:name="z201" w:id="21"/>
    <w:p>
      <w:pPr>
        <w:spacing w:after="0"/>
        <w:ind w:left="0"/>
        <w:jc w:val="both"/>
      </w:pPr>
      <w:r>
        <w:rPr>
          <w:rFonts w:ascii="Times New Roman"/>
          <w:b w:val="false"/>
          <w:i w:val="false"/>
          <w:color w:val="000000"/>
          <w:sz w:val="28"/>
        </w:rPr>
        <w:t>
      3) уполномоченный орган – уполномоченный орган по регулированию, контролю и надзору финансового рынка и финансовых организаций;</w:t>
      </w:r>
    </w:p>
    <w:bookmarkEnd w:id="21"/>
    <w:bookmarkStart w:name="z202" w:id="22"/>
    <w:p>
      <w:pPr>
        <w:spacing w:after="0"/>
        <w:ind w:left="0"/>
        <w:jc w:val="both"/>
      </w:pPr>
      <w:r>
        <w:rPr>
          <w:rFonts w:ascii="Times New Roman"/>
          <w:b w:val="false"/>
          <w:i w:val="false"/>
          <w:color w:val="000000"/>
          <w:sz w:val="28"/>
        </w:rPr>
        <w:t>
      4) период обращения эмиссионных ценных бумаг, выпуск которых зарегистрирован в порядке, установленном законодательством Республики Казахстан, для:</w:t>
      </w:r>
    </w:p>
    <w:bookmarkEnd w:id="22"/>
    <w:bookmarkStart w:name="z203" w:id="23"/>
    <w:p>
      <w:pPr>
        <w:spacing w:after="0"/>
        <w:ind w:left="0"/>
        <w:jc w:val="both"/>
      </w:pPr>
      <w:r>
        <w:rPr>
          <w:rFonts w:ascii="Times New Roman"/>
          <w:b w:val="false"/>
          <w:i w:val="false"/>
          <w:color w:val="000000"/>
          <w:sz w:val="28"/>
        </w:rPr>
        <w:t>
      акций – период с даты принятия уполномоченным органом решения о государственной регистрации выпуска акций и до даты аннулирования данного выпуска акций, в течение которого с акциями могут совершаться гражданско-правовые сделки;</w:t>
      </w:r>
    </w:p>
    <w:bookmarkEnd w:id="23"/>
    <w:bookmarkStart w:name="z204" w:id="24"/>
    <w:p>
      <w:pPr>
        <w:spacing w:after="0"/>
        <w:ind w:left="0"/>
        <w:jc w:val="both"/>
      </w:pPr>
      <w:r>
        <w:rPr>
          <w:rFonts w:ascii="Times New Roman"/>
          <w:b w:val="false"/>
          <w:i w:val="false"/>
          <w:color w:val="000000"/>
          <w:sz w:val="28"/>
        </w:rPr>
        <w:t>
      облигаций – период, определенный проспектом выпуска облигаций, в течение которого с облигациями могут совершаться гражданско-правовые сделки;</w:t>
      </w:r>
    </w:p>
    <w:bookmarkEnd w:id="24"/>
    <w:bookmarkStart w:name="z205" w:id="25"/>
    <w:p>
      <w:pPr>
        <w:spacing w:after="0"/>
        <w:ind w:left="0"/>
        <w:jc w:val="both"/>
      </w:pPr>
      <w:r>
        <w:rPr>
          <w:rFonts w:ascii="Times New Roman"/>
          <w:b w:val="false"/>
          <w:i w:val="false"/>
          <w:color w:val="000000"/>
          <w:sz w:val="28"/>
        </w:rPr>
        <w:t>
      паев – период с даты принятия уполномоченным органом решения о государственной регистрации выпуска паев и до даты прекращения существования паевого инвестиционного фонда, в течение которого с паями могут совершаться гражданско-правовые сделки;</w:t>
      </w:r>
    </w:p>
    <w:bookmarkEnd w:id="25"/>
    <w:bookmarkStart w:name="z206" w:id="26"/>
    <w:p>
      <w:pPr>
        <w:spacing w:after="0"/>
        <w:ind w:left="0"/>
        <w:jc w:val="both"/>
      </w:pPr>
      <w:r>
        <w:rPr>
          <w:rFonts w:ascii="Times New Roman"/>
          <w:b w:val="false"/>
          <w:i w:val="false"/>
          <w:color w:val="000000"/>
          <w:sz w:val="28"/>
        </w:rPr>
        <w:t>
      иных эмиссионных ценных бумаг – период, определенный условиями выпуска эмиссионных ценных бумаг, в течение которого с данными ценными бумагами могут совершаться гражданско-правовые сделки;</w:t>
      </w:r>
    </w:p>
    <w:bookmarkEnd w:id="26"/>
    <w:bookmarkStart w:name="z207" w:id="27"/>
    <w:p>
      <w:pPr>
        <w:spacing w:after="0"/>
        <w:ind w:left="0"/>
        <w:jc w:val="both"/>
      </w:pPr>
      <w:r>
        <w:rPr>
          <w:rFonts w:ascii="Times New Roman"/>
          <w:b w:val="false"/>
          <w:i w:val="false"/>
          <w:color w:val="000000"/>
          <w:sz w:val="28"/>
        </w:rPr>
        <w:t>
      5) электронный отчет – заполненный соответствующий шаблон с формами годовой и (или) ежеквартальной финансовой отчетности, информацией, указанной в пунктах 3, 4 и 5 Правил, подписываемый электронной цифровой подписью, выданной Национальным удостоверяющим центром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13.09.2021 </w:t>
      </w:r>
      <w:r>
        <w:rPr>
          <w:rFonts w:ascii="Times New Roman"/>
          <w:b w:val="false"/>
          <w:i w:val="false"/>
          <w:color w:val="000000"/>
          <w:sz w:val="28"/>
        </w:rPr>
        <w:t>№ 88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3. Эмитент в период обращения его эмиссионных ценных бумаг в соответствии с Требованиями к содержанию информации, подлежащей раскрытию эмитентом, а также сроками раскрытия эмитентом информации на интернет-ресурсе депозитария финансовой отчетности, утвержденными постановлением, согласно приложению 2 (далее - Требования), обеспечивает размещение на интернет-ресурсе депозитария финансовой отчетности:</w:t>
      </w:r>
    </w:p>
    <w:bookmarkEnd w:id="28"/>
    <w:p>
      <w:pPr>
        <w:spacing w:after="0"/>
        <w:ind w:left="0"/>
        <w:jc w:val="both"/>
      </w:pPr>
      <w:r>
        <w:rPr>
          <w:rFonts w:ascii="Times New Roman"/>
          <w:b w:val="false"/>
          <w:i w:val="false"/>
          <w:color w:val="000000"/>
          <w:sz w:val="28"/>
        </w:rPr>
        <w:t>
      информации о корпоративных событиях, перечень которых определен пунктом 5 статьи 102 Закона о рынке ценных бумаг, за исключением информации о корпоративных событиях, указанных в подпунктах 3), 5), 6) и 6-1) пункта 5 данной статьи Закона о рынке ценных бумаг, раскрываемой центральным депозитарием посредством информационного взаимодействия цифровых систем центрального депозитария и организации, осуществляющей ведение депозитария финансовой отчетности;</w:t>
      </w:r>
    </w:p>
    <w:p>
      <w:pPr>
        <w:spacing w:after="0"/>
        <w:ind w:left="0"/>
        <w:jc w:val="both"/>
      </w:pPr>
      <w:r>
        <w:rPr>
          <w:rFonts w:ascii="Times New Roman"/>
          <w:b w:val="false"/>
          <w:i w:val="false"/>
          <w:color w:val="000000"/>
          <w:sz w:val="28"/>
        </w:rPr>
        <w:t>
      состава участников, владеющих десятью и более процентами долей участия эмитента;</w:t>
      </w:r>
    </w:p>
    <w:p>
      <w:pPr>
        <w:spacing w:after="0"/>
        <w:ind w:left="0"/>
        <w:jc w:val="both"/>
      </w:pPr>
      <w:r>
        <w:rPr>
          <w:rFonts w:ascii="Times New Roman"/>
          <w:b w:val="false"/>
          <w:i w:val="false"/>
          <w:color w:val="000000"/>
          <w:sz w:val="28"/>
        </w:rPr>
        <w:t>
      списка организаций, в которых эмитент владеет десятью и более процентами акций (долей, паев) каждой такой организации;</w:t>
      </w:r>
    </w:p>
    <w:p>
      <w:pPr>
        <w:spacing w:after="0"/>
        <w:ind w:left="0"/>
        <w:jc w:val="both"/>
      </w:pPr>
      <w:r>
        <w:rPr>
          <w:rFonts w:ascii="Times New Roman"/>
          <w:b w:val="false"/>
          <w:i w:val="false"/>
          <w:color w:val="000000"/>
          <w:sz w:val="28"/>
        </w:rPr>
        <w:t>
      методики определения стоимости акций при их выкупе акционерным обществом на неорганизованном рынке.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4. Акционерное общество обеспечивает размещение на интернет-ресурсе депозитария финансовой отчетности ежегодно не позднее 31 августа года, следующего за отчетным годом, информацию о суммарном размере вознаграждения членов исполнительного органа акционерного общества по итогам года.</w:t>
      </w:r>
    </w:p>
    <w:bookmarkEnd w:id="29"/>
    <w:bookmarkStart w:name="z37" w:id="30"/>
    <w:p>
      <w:pPr>
        <w:spacing w:after="0"/>
        <w:ind w:left="0"/>
        <w:jc w:val="both"/>
      </w:pPr>
      <w:r>
        <w:rPr>
          <w:rFonts w:ascii="Times New Roman"/>
          <w:b w:val="false"/>
          <w:i w:val="false"/>
          <w:color w:val="000000"/>
          <w:sz w:val="28"/>
        </w:rPr>
        <w:t>
      Информация о суммарном размере вознаграждения членов исполнительного органа акционерного общества по итогам года содержит сведения о суммарном размере всех выплат, произведенных акционерным обществом в пользу членов исполнительного органа в отчетном периоде, включая сведения о суммарном размере заработных плат и всех видов поощрений в денежной форме, выплаченных акционерным обществом членам исполнительного органа в период их нахождения в составе исполнительного органа в отчетном периоде.</w:t>
      </w:r>
    </w:p>
    <w:bookmarkEnd w:id="30"/>
    <w:bookmarkStart w:name="z38" w:id="31"/>
    <w:p>
      <w:pPr>
        <w:spacing w:after="0"/>
        <w:ind w:left="0"/>
        <w:jc w:val="both"/>
      </w:pPr>
      <w:r>
        <w:rPr>
          <w:rFonts w:ascii="Times New Roman"/>
          <w:b w:val="false"/>
          <w:i w:val="false"/>
          <w:color w:val="000000"/>
          <w:sz w:val="28"/>
        </w:rPr>
        <w:t>
      5. Акционерное общество, за исключением стабилизационного банка, некоммерческих организаций и кредитных бюро обеспечивает размещение на интернет-ресурсе депозитария финансовой отчетности сведений об аффилированных лицах акционерного общества по форме согласно приложению к Правилам по состоянию на 1 января, 1 апреля, 1 июля и 1 октября отчетного года в срок не позднее 31 января, 30 апреля, 31 июля и 31 октября отчетного года, соответственно.</w:t>
      </w:r>
    </w:p>
    <w:bookmarkEnd w:id="31"/>
    <w:bookmarkStart w:name="z39"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Эмитент, чьи ценные бумаги включены в официальный список фондовой биржи, функционирующей на территории Республики Казахстан, и не обращаются на площадке фондовой биржи, функционирующей на территории иностранного государства, в дополнение к информации, указанной в частях первой и третьей пункта 2 статьи 102 Закона о рынке ценных бумаг осуществляет раскрытие на интернет-ресурсе депозитария финансовой отчетности ежеквартально в течение 30 (тридцати) рабочих дней, следующих за последним днем отчетного квартала, ежеквартальной неконсолидированной финансовой отчетности, состоящей из:</w:t>
      </w:r>
    </w:p>
    <w:bookmarkEnd w:id="32"/>
    <w:p>
      <w:pPr>
        <w:spacing w:after="0"/>
        <w:ind w:left="0"/>
        <w:jc w:val="both"/>
      </w:pPr>
      <w:r>
        <w:rPr>
          <w:rFonts w:ascii="Times New Roman"/>
          <w:b w:val="false"/>
          <w:i w:val="false"/>
          <w:color w:val="000000"/>
          <w:sz w:val="28"/>
        </w:rPr>
        <w:t>
      1) бухгалтерского баланса и отчета о прибылях и убытках, составленных в соответствии с формами, утвержденными приказом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зарегистрированным в Реестре государственной регистрации нормативных правовых актов под № 15384, - для акционерного общества, за исключением финансовой организации;</w:t>
      </w:r>
    </w:p>
    <w:p>
      <w:pPr>
        <w:spacing w:after="0"/>
        <w:ind w:left="0"/>
        <w:jc w:val="both"/>
      </w:pPr>
      <w:r>
        <w:rPr>
          <w:rFonts w:ascii="Times New Roman"/>
          <w:b w:val="false"/>
          <w:i w:val="false"/>
          <w:color w:val="000000"/>
          <w:sz w:val="28"/>
        </w:rPr>
        <w:t>
      2) бухгалтерского баланса и отчета о прибылях и убытках, составленных в соответствии с формами, утвержденными постановлением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зарегистрированным в Реестре государственной регистрации нормативных правовых актов под № 13504, - для акционерного общества, являющегося финансовой организацией, за исключением банка второго уровня;</w:t>
      </w:r>
    </w:p>
    <w:p>
      <w:pPr>
        <w:spacing w:after="0"/>
        <w:ind w:left="0"/>
        <w:jc w:val="both"/>
      </w:pPr>
      <w:r>
        <w:rPr>
          <w:rFonts w:ascii="Times New Roman"/>
          <w:b w:val="false"/>
          <w:i w:val="false"/>
          <w:color w:val="000000"/>
          <w:sz w:val="28"/>
        </w:rPr>
        <w:t>
      3) отчета об остатках на балансовых и внебалансовых счетах банка второго уровня, составленного в соответствии с формой, утвержденной постановлением Правления Национального Банка Республики Казахстан от 2 декабря 2025 года № 88 "Об утверждении Правил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зарегистрированным в Реестре государственной регистрации нормативных правовых актов под № 37562, - для акционерного общества, являющегося банком второго уровня;</w:t>
      </w:r>
    </w:p>
    <w:p>
      <w:pPr>
        <w:spacing w:after="0"/>
        <w:ind w:left="0"/>
        <w:jc w:val="both"/>
      </w:pPr>
      <w:r>
        <w:rPr>
          <w:rFonts w:ascii="Times New Roman"/>
          <w:b w:val="false"/>
          <w:i w:val="false"/>
          <w:color w:val="000000"/>
          <w:sz w:val="28"/>
        </w:rPr>
        <w:t>
      4) отчета об остатках на балансовых и внебалансовых счетах ипотечных организаций, составленный в соответствии с формой, утвержденной постановлением Правления Национального Банка Республики Казахстан от 24 декабря 2025 года № 102 "Об утверждении Правил представления отчетности организациями, осуществляющими отдельные виды банковских операций", зарегистрированным в Реестре государственной регистрации нормативных правовых актов под № 37699, - для акционерного общества, являющегося ипотечной организацией;</w:t>
      </w:r>
    </w:p>
    <w:p>
      <w:pPr>
        <w:spacing w:after="0"/>
        <w:ind w:left="0"/>
        <w:jc w:val="both"/>
      </w:pPr>
      <w:r>
        <w:rPr>
          <w:rFonts w:ascii="Times New Roman"/>
          <w:b w:val="false"/>
          <w:i w:val="false"/>
          <w:color w:val="000000"/>
          <w:sz w:val="28"/>
        </w:rPr>
        <w:t>
      5) бухгалтерского баланса и отчета о прибылях и убытках, составленных в соответствии с международными стандартами финансовой отчетности (далее - МСФО), - для эмитента, не являющегося акционерным обществом.</w:t>
      </w:r>
    </w:p>
    <w:p>
      <w:pPr>
        <w:spacing w:after="0"/>
        <w:ind w:left="0"/>
        <w:jc w:val="both"/>
      </w:pPr>
      <w:r>
        <w:rPr>
          <w:rFonts w:ascii="Times New Roman"/>
          <w:b w:val="false"/>
          <w:i w:val="false"/>
          <w:color w:val="000000"/>
          <w:sz w:val="28"/>
        </w:rPr>
        <w:t>
      Эмитент, чьи ценные бумаги включены в официальный список фондовой биржи, функционирующей на территории Республики Казахстан, и при условии обращения его ценных бумаг на площадке фондовой биржи, функционирующей на территории иностранного государства, обеспечивает размещение на интернет-ресурсе депозитария финансовой отчетности ежеквартальной финансовой отчетности, а в случае наличия у данного эмитента дочерней организации - ежеквартальной консолидированной финансовой отчетности, составленной в соответствии с МСФО, в сроки, установленные внутренними документами фондовой биржи, функционирующей на территории Республики Казахстан, в официальный список которой включены ценные бумаги эмитента.</w:t>
      </w:r>
    </w:p>
    <w:p>
      <w:pPr>
        <w:spacing w:after="0"/>
        <w:ind w:left="0"/>
        <w:jc w:val="both"/>
      </w:pPr>
      <w:r>
        <w:rPr>
          <w:rFonts w:ascii="Times New Roman"/>
          <w:b w:val="false"/>
          <w:i w:val="false"/>
          <w:color w:val="000000"/>
          <w:sz w:val="28"/>
        </w:rPr>
        <w:t>
      Эмитент, чьи ценные бумаги включены в официальный список фондовой биржи, функционирующей на территории Республики Казахстан, и при условии обращения его ценных бумаг на площадке фондовой биржи, функционирующей на территории иностранного государства, являющийся банком второго уровня, в дополнение к информации, указанной в части второй настоящего пункта Правил, также представляет информацию, предусмотренную подпунктом 3) части первой настоящего пункта Правил, в сроки, установленные внутренними документами фондовой биржи, функционирующей на территории Республики Казахстан, в официальный список которой включены ценные бумаги эмитента.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33"/>
    <w:p>
      <w:pPr>
        <w:spacing w:after="0"/>
        <w:ind w:left="0"/>
        <w:jc w:val="both"/>
      </w:pPr>
      <w:r>
        <w:rPr>
          <w:rFonts w:ascii="Times New Roman"/>
          <w:b w:val="false"/>
          <w:i w:val="false"/>
          <w:color w:val="000000"/>
          <w:sz w:val="28"/>
        </w:rPr>
        <w:t xml:space="preserve">
      7. Эмитент, подлежащий обязательному аудиту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аудиторской деятельности", ежегодно не позднее 31 августа года, следующего за отчетным годом, осуществляет размещение на интернет-ресурсе депозитария финансовой отчетности годовой финансовой отчетности и аудиторского отчета, а в случае наличия дочерних организаций - отдельной годовой финансовой отчетности, консолидированной годовой финансовой отчетности и аудиторского отчета по консолидированной годовой финансовой отчетности, составленных в соответствии с:</w:t>
      </w:r>
    </w:p>
    <w:bookmarkEnd w:id="33"/>
    <w:bookmarkStart w:name="z238" w:id="34"/>
    <w:p>
      <w:pPr>
        <w:spacing w:after="0"/>
        <w:ind w:left="0"/>
        <w:jc w:val="both"/>
      </w:pPr>
      <w:r>
        <w:rPr>
          <w:rFonts w:ascii="Times New Roman"/>
          <w:b w:val="false"/>
          <w:i w:val="false"/>
          <w:color w:val="000000"/>
          <w:sz w:val="28"/>
        </w:rPr>
        <w:t xml:space="preserve">
      1) перечнем и формами,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зарегистрированных в Реестре государственной регистрации нормативных правовых актов под № 15384, - для акционерного общества (за исключением финансовой организации);</w:t>
      </w:r>
    </w:p>
    <w:bookmarkEnd w:id="34"/>
    <w:bookmarkStart w:name="z239" w:id="3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зарегистрированным в Реестре государственной регистрации нормативных правовых актов под № 13504, - для финансовой организации;</w:t>
      </w:r>
    </w:p>
    <w:bookmarkEnd w:id="35"/>
    <w:bookmarkStart w:name="z240" w:id="36"/>
    <w:p>
      <w:pPr>
        <w:spacing w:after="0"/>
        <w:ind w:left="0"/>
        <w:jc w:val="both"/>
      </w:pPr>
      <w:r>
        <w:rPr>
          <w:rFonts w:ascii="Times New Roman"/>
          <w:b w:val="false"/>
          <w:i w:val="false"/>
          <w:color w:val="000000"/>
          <w:sz w:val="28"/>
        </w:rPr>
        <w:t>
      3) МСФО - для эмитента, чьи ценные бумаги включены в список фондовой биржи и не являющегося акционерным обществом.</w:t>
      </w:r>
    </w:p>
    <w:bookmarkEnd w:id="36"/>
    <w:bookmarkStart w:name="z241" w:id="37"/>
    <w:p>
      <w:pPr>
        <w:spacing w:after="0"/>
        <w:ind w:left="0"/>
        <w:jc w:val="both"/>
      </w:pPr>
      <w:r>
        <w:rPr>
          <w:rFonts w:ascii="Times New Roman"/>
          <w:b w:val="false"/>
          <w:i w:val="false"/>
          <w:color w:val="000000"/>
          <w:sz w:val="28"/>
        </w:rPr>
        <w:t xml:space="preserve">
      Годовая финансовая отчетность и аудиторский отчет, подлежащие размещению на интернет-ресурсе депозитария финансовой отчетности, представляются эмитентом в депозитарий финансовой отчетности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января 2022 года № 94 "Об утверждении Правил сдачи финансовой отчетности организациями публичного интереса в депозитарий", зарегистрированным в Реестре государственной регистрации нормативных правовых актов под № 26686.</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Агентства РК по регулированию и развитию финансового рынка от 14.03.2022 </w:t>
      </w:r>
      <w:r>
        <w:rPr>
          <w:rFonts w:ascii="Times New Roman"/>
          <w:b w:val="false"/>
          <w:i w:val="false"/>
          <w:color w:val="000000"/>
          <w:sz w:val="28"/>
        </w:rPr>
        <w:t>№ 25</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52" w:id="38"/>
    <w:p>
      <w:pPr>
        <w:spacing w:after="0"/>
        <w:ind w:left="0"/>
        <w:jc w:val="both"/>
      </w:pPr>
      <w:r>
        <w:rPr>
          <w:rFonts w:ascii="Times New Roman"/>
          <w:b w:val="false"/>
          <w:i w:val="false"/>
          <w:color w:val="000000"/>
          <w:sz w:val="28"/>
        </w:rPr>
        <w:t>
      8. Эмитент для представления в депозитарий финансовой отчетности, формирует информацию о корпоративных событиях, ежеквартальную финансовую отчетность, информацию о суммарном размере вознаграждения членов исполнительного органа акционерного общества за отчетный год, а также сведения об аффилированных лицах акционерных обществ посредством электронного сервиса "Единая система сдачи отчетности", размещенного на интернет-ресурсе депозитария финансовой отчетности.</w:t>
      </w:r>
    </w:p>
    <w:bookmarkEnd w:id="38"/>
    <w:bookmarkStart w:name="z243" w:id="39"/>
    <w:p>
      <w:pPr>
        <w:spacing w:after="0"/>
        <w:ind w:left="0"/>
        <w:jc w:val="both"/>
      </w:pPr>
      <w:r>
        <w:rPr>
          <w:rFonts w:ascii="Times New Roman"/>
          <w:b w:val="false"/>
          <w:i w:val="false"/>
          <w:color w:val="000000"/>
          <w:sz w:val="28"/>
        </w:rPr>
        <w:t>
      Информация, указанная в пункте 3 Правил, составленная на казахском и русском языках, а также по инициативе составителя информации на английском языке, ежеквартальная финансовая отчетность и информация о суммарном размере вознаграждения членов исполнительного органа акционерного общества за отчетный год, сведения об аффилированных лицах акционерного общества, составленные на казахском и (или) русском языках, а также по инициативе составителя информации на английском языке, представляются в организацию, осуществляющую ведение депозитария финансовой отчетности, в следующем порядке:</w:t>
      </w:r>
    </w:p>
    <w:bookmarkEnd w:id="39"/>
    <w:bookmarkStart w:name="z244" w:id="40"/>
    <w:p>
      <w:pPr>
        <w:spacing w:after="0"/>
        <w:ind w:left="0"/>
        <w:jc w:val="both"/>
      </w:pPr>
      <w:r>
        <w:rPr>
          <w:rFonts w:ascii="Times New Roman"/>
          <w:b w:val="false"/>
          <w:i w:val="false"/>
          <w:color w:val="000000"/>
          <w:sz w:val="28"/>
        </w:rPr>
        <w:t>
      1) посредством электронного сервиса "Единая система сдачи отчетности" заполняется соответствующий шаблон;</w:t>
      </w:r>
    </w:p>
    <w:bookmarkEnd w:id="40"/>
    <w:bookmarkStart w:name="z245" w:id="41"/>
    <w:p>
      <w:pPr>
        <w:spacing w:after="0"/>
        <w:ind w:left="0"/>
        <w:jc w:val="both"/>
      </w:pPr>
      <w:r>
        <w:rPr>
          <w:rFonts w:ascii="Times New Roman"/>
          <w:b w:val="false"/>
          <w:i w:val="false"/>
          <w:color w:val="000000"/>
          <w:sz w:val="28"/>
        </w:rPr>
        <w:t>
      2) в результате заполнения шаблона формируется электронный отчет, подписанный электронной цифровой подписью первого руководителя или уполномоченного лица эмитента;</w:t>
      </w:r>
    </w:p>
    <w:bookmarkEnd w:id="41"/>
    <w:bookmarkStart w:name="z246" w:id="42"/>
    <w:p>
      <w:pPr>
        <w:spacing w:after="0"/>
        <w:ind w:left="0"/>
        <w:jc w:val="both"/>
      </w:pPr>
      <w:r>
        <w:rPr>
          <w:rFonts w:ascii="Times New Roman"/>
          <w:b w:val="false"/>
          <w:i w:val="false"/>
          <w:color w:val="000000"/>
          <w:sz w:val="28"/>
        </w:rPr>
        <w:t xml:space="preserve">
      3) до подписания электронного отчета, к нему прикрепляются сканированные документы в электронном формате PDF, раскрываемые эмитентами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акционерных обществах" и </w:t>
      </w:r>
      <w:r>
        <w:rPr>
          <w:rFonts w:ascii="Times New Roman"/>
          <w:b w:val="false"/>
          <w:i w:val="false"/>
          <w:color w:val="000000"/>
          <w:sz w:val="28"/>
        </w:rPr>
        <w:t>Закона</w:t>
      </w:r>
      <w:r>
        <w:rPr>
          <w:rFonts w:ascii="Times New Roman"/>
          <w:b w:val="false"/>
          <w:i w:val="false"/>
          <w:color w:val="000000"/>
          <w:sz w:val="28"/>
        </w:rPr>
        <w:t xml:space="preserve"> о рынке ценных бумаг или по собственной инициативе, которые размещаются во вкладке "электронное досье" эмитента на интернет-ресурсе депозитария финансовой отчетности;</w:t>
      </w:r>
    </w:p>
    <w:bookmarkEnd w:id="42"/>
    <w:bookmarkStart w:name="z247" w:id="43"/>
    <w:p>
      <w:pPr>
        <w:spacing w:after="0"/>
        <w:ind w:left="0"/>
        <w:jc w:val="both"/>
      </w:pPr>
      <w:r>
        <w:rPr>
          <w:rFonts w:ascii="Times New Roman"/>
          <w:b w:val="false"/>
          <w:i w:val="false"/>
          <w:color w:val="000000"/>
          <w:sz w:val="28"/>
        </w:rPr>
        <w:t>
      4) направляется электронный отчет на сервер депозитария финансовой отчетности для включения его в структуру депозитария финансовой отчетности.</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14.03.2022 </w:t>
      </w:r>
      <w:r>
        <w:rPr>
          <w:rFonts w:ascii="Times New Roman"/>
          <w:b w:val="false"/>
          <w:i w:val="false"/>
          <w:color w:val="000000"/>
          <w:sz w:val="28"/>
        </w:rPr>
        <w:t>№ 25</w:t>
      </w:r>
      <w:r>
        <w:rPr>
          <w:rFonts w:ascii="Times New Roman"/>
          <w:b w:val="false"/>
          <w:i w:val="false"/>
          <w:color w:val="ff0000"/>
          <w:sz w:val="28"/>
        </w:rPr>
        <w:t xml:space="preserve"> (вводится в действие по истечении десяти календарных дней после дня его официального опубликования).</w:t>
      </w:r>
      <w:r>
        <w:br/>
      </w:r>
      <w:r>
        <w:rPr>
          <w:rFonts w:ascii="Times New Roman"/>
          <w:b w:val="false"/>
          <w:i w:val="false"/>
          <w:color w:val="000000"/>
          <w:sz w:val="28"/>
        </w:rPr>
        <w:t>
</w:t>
      </w:r>
    </w:p>
    <w:bookmarkStart w:name="z60" w:id="44"/>
    <w:p>
      <w:pPr>
        <w:spacing w:after="0"/>
        <w:ind w:left="0"/>
        <w:jc w:val="both"/>
      </w:pPr>
      <w:r>
        <w:rPr>
          <w:rFonts w:ascii="Times New Roman"/>
          <w:b w:val="false"/>
          <w:i w:val="false"/>
          <w:color w:val="000000"/>
          <w:sz w:val="28"/>
        </w:rPr>
        <w:t>
      9. Основанием для отказа организацией, осуществляющей ведение депозитария финансовой отчетности, в принятии электронного отчета, является несоблюдение эмитентом порядка, указанных в Правилах и (или) неполное раскрытие информации, указанной в Требованиях.</w:t>
      </w:r>
    </w:p>
    <w:bookmarkEnd w:id="44"/>
    <w:bookmarkStart w:name="z61" w:id="45"/>
    <w:p>
      <w:pPr>
        <w:spacing w:after="0"/>
        <w:ind w:left="0"/>
        <w:jc w:val="both"/>
      </w:pPr>
      <w:r>
        <w:rPr>
          <w:rFonts w:ascii="Times New Roman"/>
          <w:b w:val="false"/>
          <w:i w:val="false"/>
          <w:color w:val="000000"/>
          <w:sz w:val="28"/>
        </w:rPr>
        <w:t>
      10. При представлении информации о событиях в соответствии с пунктами 10, 12, 13, 14 и 17 Требований, являющихся последствиями ранее произошедших событий, эмитент в электронном отчете, направляемом на сервер депозитария финансовой отчетности, указывает номер электронного уведомления о результатах обработки электронного отчета, поступившего на сервер депозитария финансовой отчетности по ранее опубликованному первоначальному событию, последствием которого является данное событие.</w:t>
      </w:r>
    </w:p>
    <w:bookmarkEnd w:id="45"/>
    <w:p>
      <w:pPr>
        <w:spacing w:after="0"/>
        <w:ind w:left="0"/>
        <w:jc w:val="both"/>
      </w:pPr>
      <w:r>
        <w:rPr>
          <w:rFonts w:ascii="Times New Roman"/>
          <w:b w:val="false"/>
          <w:i w:val="false"/>
          <w:color w:val="000000"/>
          <w:sz w:val="28"/>
        </w:rPr>
        <w:t>
      Если информация о первоначальном событии в момент его возникновения не подлежала размещению на интернет-ресурсе депозитария финансовой отчетности, указывается номер электронного уведомления о результатах обработки электронного отчета, поступившего на сервер депозитария финансовой отчетности по событию, предшествующему данному событию.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Агентства РК по регулированию и развитию финансового рынка от 12.12.2022 </w:t>
      </w:r>
      <w:r>
        <w:rPr>
          <w:rFonts w:ascii="Times New Roman"/>
          <w:b w:val="false"/>
          <w:i w:val="false"/>
          <w:color w:val="000000"/>
          <w:sz w:val="28"/>
        </w:rPr>
        <w:t>№ 111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46"/>
    <w:p>
      <w:pPr>
        <w:spacing w:after="0"/>
        <w:ind w:left="0"/>
        <w:jc w:val="both"/>
      </w:pPr>
      <w:r>
        <w:rPr>
          <w:rFonts w:ascii="Times New Roman"/>
          <w:b w:val="false"/>
          <w:i w:val="false"/>
          <w:color w:val="000000"/>
          <w:sz w:val="28"/>
        </w:rPr>
        <w:t xml:space="preserve">
      11. Информация, указанная в </w:t>
      </w:r>
      <w:r>
        <w:rPr>
          <w:rFonts w:ascii="Times New Roman"/>
          <w:b w:val="false"/>
          <w:i w:val="false"/>
          <w:color w:val="000000"/>
          <w:sz w:val="28"/>
        </w:rPr>
        <w:t>пункте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Правил, представляемая эмитентами, в депозитарий финансовой отчетности, размещается организацией, осуществляющей ведение депозитария финансовой отчетности, на своем интернет-ресурсе в день их получения, в случае представления информации после 18-00 часов по времени города Астаны рабочего дня, то данная информация размещается не позднее 10-00 часов по времени города Астаны первого рабочего дня, следующего за днем получения информации.</w:t>
      </w:r>
    </w:p>
    <w:bookmarkEnd w:id="46"/>
    <w:p>
      <w:pPr>
        <w:spacing w:after="0"/>
        <w:ind w:left="0"/>
        <w:jc w:val="both"/>
      </w:pPr>
      <w:r>
        <w:rPr>
          <w:rFonts w:ascii="Times New Roman"/>
          <w:b w:val="false"/>
          <w:i w:val="false"/>
          <w:color w:val="000000"/>
          <w:sz w:val="28"/>
        </w:rPr>
        <w:t xml:space="preserve">
      Информация, указанная в </w:t>
      </w:r>
      <w:r>
        <w:rPr>
          <w:rFonts w:ascii="Times New Roman"/>
          <w:b w:val="false"/>
          <w:i w:val="false"/>
          <w:color w:val="000000"/>
          <w:sz w:val="28"/>
        </w:rPr>
        <w:t>пункте 6</w:t>
      </w:r>
      <w:r>
        <w:rPr>
          <w:rFonts w:ascii="Times New Roman"/>
          <w:b w:val="false"/>
          <w:i w:val="false"/>
          <w:color w:val="000000"/>
          <w:sz w:val="28"/>
        </w:rPr>
        <w:t xml:space="preserve"> Правил, представляемая эмитентами, в депозитарий финансовой отчетности, размещается организацией, осуществляющей ведение депозитария финансовой отчетности, на своем интернет-ресурсе в течение 3 (трех) рабочих дней с даты ее получения.</w:t>
      </w:r>
    </w:p>
    <w:bookmarkStart w:name="z248" w:id="47"/>
    <w:p>
      <w:pPr>
        <w:spacing w:after="0"/>
        <w:ind w:left="0"/>
        <w:jc w:val="both"/>
      </w:pPr>
      <w:r>
        <w:rPr>
          <w:rFonts w:ascii="Times New Roman"/>
          <w:b w:val="false"/>
          <w:i w:val="false"/>
          <w:color w:val="000000"/>
          <w:sz w:val="28"/>
        </w:rPr>
        <w:t>
      12. По инициативе эмитента допускается корректировка информации, включенной в электронный отчет и опубликованной на интернет-ресурсе депозитария финансовой отчетности, до даты получения эмитентом уведомления уполномоченного органа о предоставлении пояснений о возможном нарушении требования настоящих Правил.</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 в соответствии с постановлением Правления Агентства РК по регулированию и развитию финансового рынка от 12.12.2022 </w:t>
      </w:r>
      <w:r>
        <w:rPr>
          <w:rFonts w:ascii="Times New Roman"/>
          <w:b w:val="false"/>
          <w:i w:val="false"/>
          <w:color w:val="000000"/>
          <w:sz w:val="28"/>
        </w:rPr>
        <w:t>№ 111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2018 года № 189</w:t>
            </w:r>
          </w:p>
        </w:tc>
      </w:tr>
    </w:tbl>
    <w:bookmarkStart w:name="z66" w:id="48"/>
    <w:p>
      <w:pPr>
        <w:spacing w:after="0"/>
        <w:ind w:left="0"/>
        <w:jc w:val="left"/>
      </w:pPr>
      <w:r>
        <w:rPr>
          <w:rFonts w:ascii="Times New Roman"/>
          <w:b/>
          <w:i w:val="false"/>
          <w:color w:val="000000"/>
        </w:rPr>
        <w:t xml:space="preserve"> Требования к содержанию информации, подлежащей раскрытию эмитентом, а также сроки раскрытия эмитентом информации на интернет-ресурсе депозитария финансовой отчетности</w:t>
      </w:r>
    </w:p>
    <w:bookmarkEnd w:id="48"/>
    <w:p>
      <w:pPr>
        <w:spacing w:after="0"/>
        <w:ind w:left="0"/>
        <w:jc w:val="both"/>
      </w:pPr>
      <w:r>
        <w:rPr>
          <w:rFonts w:ascii="Times New Roman"/>
          <w:b w:val="false"/>
          <w:i w:val="false"/>
          <w:color w:val="ff0000"/>
          <w:sz w:val="28"/>
        </w:rPr>
        <w:t xml:space="preserve">
      Сноска. Требования - в редакции постановления Правления Агентства РК по регулированию и развитию финансового рынка от 12.12.2022 </w:t>
      </w:r>
      <w:r>
        <w:rPr>
          <w:rFonts w:ascii="Times New Roman"/>
          <w:b w:val="false"/>
          <w:i w:val="false"/>
          <w:color w:val="ff0000"/>
          <w:sz w:val="28"/>
        </w:rPr>
        <w:t>№ 111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раскрытия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решениях, принятых общим собранием акционеров (участников) или единственным акционером (участником)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время и место проведения общего собрания акционеров (участников) эмитента;</w:t>
            </w:r>
          </w:p>
          <w:p>
            <w:pPr>
              <w:spacing w:after="20"/>
              <w:ind w:left="20"/>
              <w:jc w:val="both"/>
            </w:pPr>
            <w:r>
              <w:rPr>
                <w:rFonts w:ascii="Times New Roman"/>
                <w:b w:val="false"/>
                <w:i w:val="false"/>
                <w:color w:val="000000"/>
                <w:sz w:val="20"/>
              </w:rPr>
              <w:t>
2) вопросы, включенные в повестку дня общего собрания акционеров (участников) эмитента;</w:t>
            </w:r>
          </w:p>
          <w:p>
            <w:pPr>
              <w:spacing w:after="20"/>
              <w:ind w:left="20"/>
              <w:jc w:val="both"/>
            </w:pPr>
            <w:r>
              <w:rPr>
                <w:rFonts w:ascii="Times New Roman"/>
                <w:b w:val="false"/>
                <w:i w:val="false"/>
                <w:color w:val="000000"/>
                <w:sz w:val="20"/>
              </w:rPr>
              <w:t>
3) решения, принятые общим собранием акционеров акционерного общества (участников), с указанием итогов (результатов) голосования;</w:t>
            </w:r>
          </w:p>
          <w:p>
            <w:pPr>
              <w:spacing w:after="20"/>
              <w:ind w:left="20"/>
              <w:jc w:val="both"/>
            </w:pPr>
            <w:r>
              <w:rPr>
                <w:rFonts w:ascii="Times New Roman"/>
                <w:b w:val="false"/>
                <w:i w:val="false"/>
                <w:color w:val="000000"/>
                <w:sz w:val="20"/>
              </w:rPr>
              <w:t>
4) в случае принятия общим собранием акционеров акционерного общества (участников) решения о добровольной ликвидации или добровольной реорганизации эмитента его дочерних организаций:</w:t>
            </w:r>
          </w:p>
          <w:p>
            <w:pPr>
              <w:spacing w:after="20"/>
              <w:ind w:left="20"/>
              <w:jc w:val="both"/>
            </w:pPr>
            <w:r>
              <w:rPr>
                <w:rFonts w:ascii="Times New Roman"/>
                <w:b w:val="false"/>
                <w:i w:val="false"/>
                <w:color w:val="000000"/>
                <w:sz w:val="20"/>
              </w:rPr>
              <w:t>
место нахождения, наименование реорганизуемого или ликвидируемого юридического лица;</w:t>
            </w:r>
          </w:p>
          <w:p>
            <w:pPr>
              <w:spacing w:after="20"/>
              <w:ind w:left="20"/>
              <w:jc w:val="both"/>
            </w:pPr>
            <w:r>
              <w:rPr>
                <w:rFonts w:ascii="Times New Roman"/>
                <w:b w:val="false"/>
                <w:i w:val="false"/>
                <w:color w:val="000000"/>
                <w:sz w:val="20"/>
              </w:rPr>
              <w:t>
форма и условия реорганизации эмитента;</w:t>
            </w:r>
          </w:p>
          <w:p>
            <w:pPr>
              <w:spacing w:after="20"/>
              <w:ind w:left="20"/>
              <w:jc w:val="both"/>
            </w:pPr>
            <w:r>
              <w:rPr>
                <w:rFonts w:ascii="Times New Roman"/>
                <w:b w:val="false"/>
                <w:i w:val="false"/>
                <w:color w:val="000000"/>
                <w:sz w:val="20"/>
              </w:rPr>
              <w:t>
5) иные сведения при необходимости.</w:t>
            </w:r>
          </w:p>
          <w:p>
            <w:pPr>
              <w:spacing w:after="20"/>
              <w:ind w:left="20"/>
              <w:jc w:val="both"/>
            </w:pPr>
            <w:r>
              <w:rPr>
                <w:rFonts w:ascii="Times New Roman"/>
                <w:b w:val="false"/>
                <w:i w:val="false"/>
                <w:color w:val="000000"/>
                <w:sz w:val="20"/>
              </w:rPr>
              <w:t>
В случае наличия у эмитента единственного акционера (участника), указывается дата решения единственного акционера (участника), решения, принятые единственным акционером (участником), иные сведения по решению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общего собрания акционеров (участников) или единственным акционером (участником).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избрании органа управления (наблюдательного совета), исполнительного органа (лица, единолично осуществляющего функции исполнительного органа), эмитента с указанием состава органа управления (наблюдательного совета), исполнительного органа (лица, единолично осуществляющего функции исполнительного органа) эмитента, а также изменениях в составе органа управления (наблюдательного совета), исполнительного органа (лица, единолично осуществляющего функции исполнительного органа)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 об избрании (назначении) либо изменении состава органа эмитента с указанием наименования органа эмитента, принявшего решение. В случае если досрочное прекращение полномочий члена органа управления и (или) исполнительного органа осуществляется по их инициативе, то указывается дата получения письменного уведомления органом управления эмитента;</w:t>
            </w:r>
          </w:p>
          <w:p>
            <w:pPr>
              <w:spacing w:after="20"/>
              <w:ind w:left="20"/>
              <w:jc w:val="both"/>
            </w:pPr>
            <w:r>
              <w:rPr>
                <w:rFonts w:ascii="Times New Roman"/>
                <w:b w:val="false"/>
                <w:i w:val="false"/>
                <w:color w:val="000000"/>
                <w:sz w:val="20"/>
              </w:rPr>
              <w:t>
2) наименование органа эмитента, состав которого избран (назначен) либо изменен;</w:t>
            </w:r>
          </w:p>
          <w:p>
            <w:pPr>
              <w:spacing w:after="20"/>
              <w:ind w:left="20"/>
              <w:jc w:val="both"/>
            </w:pPr>
            <w:r>
              <w:rPr>
                <w:rFonts w:ascii="Times New Roman"/>
                <w:b w:val="false"/>
                <w:i w:val="false"/>
                <w:color w:val="000000"/>
                <w:sz w:val="20"/>
              </w:rPr>
              <w:t>
3) состав органа эмитента либо суть изменений в составе органа эмитента: фамилия, имя, отчество (при его наличии) лиц, избранных (назначенных) в состав органа, фамилия, имя, отчество (при его наличии) лица, избранного (назначенного) в состав органа, а также исключенного из состава органа;</w:t>
            </w:r>
          </w:p>
          <w:p>
            <w:pPr>
              <w:spacing w:after="20"/>
              <w:ind w:left="20"/>
              <w:jc w:val="both"/>
            </w:pPr>
            <w:r>
              <w:rPr>
                <w:rFonts w:ascii="Times New Roman"/>
                <w:b w:val="false"/>
                <w:i w:val="false"/>
                <w:color w:val="000000"/>
                <w:sz w:val="20"/>
              </w:rPr>
              <w:t>
4) состав органа эмитента с учетом внесенных в него изменений с указанием фамилии, имени, отчества (при его наличии) каждого лица, входящего в состав органа эмитента;</w:t>
            </w:r>
          </w:p>
          <w:p>
            <w:pPr>
              <w:spacing w:after="20"/>
              <w:ind w:left="20"/>
              <w:jc w:val="both"/>
            </w:pPr>
            <w:r>
              <w:rPr>
                <w:rFonts w:ascii="Times New Roman"/>
                <w:b w:val="false"/>
                <w:i w:val="false"/>
                <w:color w:val="000000"/>
                <w:sz w:val="20"/>
              </w:rPr>
              <w:t>
5) процентное соотношение голосующих акций (долей участия в уставном капитале) принадлежащих избранному (назначенному) члену совета директоров (наблюдательного совета) эмитента, к общему количеству голосующих акций (долей участия в уставном капитале) эмитента;</w:t>
            </w:r>
          </w:p>
          <w:p>
            <w:pPr>
              <w:spacing w:after="20"/>
              <w:ind w:left="20"/>
              <w:jc w:val="both"/>
            </w:pPr>
            <w:r>
              <w:rPr>
                <w:rFonts w:ascii="Times New Roman"/>
                <w:b w:val="false"/>
                <w:i w:val="false"/>
                <w:color w:val="000000"/>
                <w:sz w:val="20"/>
              </w:rPr>
              <w:t>
6) процентное соотношение акций (долей участия в уставном капитале), принадлежащих избранному (назначенному) члену совета директоров эмитента в дочерних организациях, к общему количеству размещенных акций (долей участия в уставном капитале) данных организаций.</w:t>
            </w:r>
          </w:p>
          <w:p>
            <w:pPr>
              <w:spacing w:after="20"/>
              <w:ind w:left="20"/>
              <w:jc w:val="both"/>
            </w:pPr>
            <w:r>
              <w:rPr>
                <w:rFonts w:ascii="Times New Roman"/>
                <w:b w:val="false"/>
                <w:i w:val="false"/>
                <w:color w:val="000000"/>
                <w:sz w:val="20"/>
              </w:rPr>
              <w:t>
В случае если общим собранием акционеров (участниками) и (или) советом директоров (наблюдательным советом) эмитента принято решение только об изменении состава органов эмитента, информация о данном решении размещается только в соответствии с пунктом 2 настоящего приложения с указанием об этом.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об избрании (назначении) либо изменении состава органа эмитента или после даты получения письменного уведомления органом управления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составе участников, и (или) об изменении в составе участников, владеющих десятью и более процентами долей участия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состав участников, владеющих десятью и более процентами долей участия эмитента:</w:t>
            </w:r>
          </w:p>
          <w:p>
            <w:pPr>
              <w:spacing w:after="20"/>
              <w:ind w:left="20"/>
              <w:jc w:val="both"/>
            </w:pPr>
            <w:r>
              <w:rPr>
                <w:rFonts w:ascii="Times New Roman"/>
                <w:b w:val="false"/>
                <w:i w:val="false"/>
                <w:color w:val="000000"/>
                <w:sz w:val="20"/>
              </w:rPr>
              <w:t>
для физического лица - фамилия, имя, отчество (при его наличии) лица;</w:t>
            </w:r>
          </w:p>
          <w:p>
            <w:pPr>
              <w:spacing w:after="20"/>
              <w:ind w:left="20"/>
              <w:jc w:val="both"/>
            </w:pPr>
            <w:r>
              <w:rPr>
                <w:rFonts w:ascii="Times New Roman"/>
                <w:b w:val="false"/>
                <w:i w:val="false"/>
                <w:color w:val="000000"/>
                <w:sz w:val="20"/>
              </w:rPr>
              <w:t>
для юридического лица - полное наименование и место нахождения юридического лица;</w:t>
            </w:r>
          </w:p>
          <w:p>
            <w:pPr>
              <w:spacing w:after="20"/>
              <w:ind w:left="20"/>
              <w:jc w:val="both"/>
            </w:pPr>
            <w:r>
              <w:rPr>
                <w:rFonts w:ascii="Times New Roman"/>
                <w:b w:val="false"/>
                <w:i w:val="false"/>
                <w:color w:val="000000"/>
                <w:sz w:val="20"/>
              </w:rPr>
              <w:t>
2) дата изменения состава участников, владеющих десятью и более процентами долей участия эмитента (дата регистрации изменений в системе реестров держателей ценных бумаг или системе учета номинального держания или Национальном реестре бизнес-идентификационных номеров);</w:t>
            </w:r>
          </w:p>
          <w:p>
            <w:pPr>
              <w:spacing w:after="20"/>
              <w:ind w:left="20"/>
              <w:jc w:val="both"/>
            </w:pPr>
            <w:r>
              <w:rPr>
                <w:rFonts w:ascii="Times New Roman"/>
                <w:b w:val="false"/>
                <w:i w:val="false"/>
                <w:color w:val="000000"/>
                <w:sz w:val="20"/>
              </w:rPr>
              <w:t>
3) суть изменений в составе участников эмитента:</w:t>
            </w:r>
          </w:p>
          <w:p>
            <w:pPr>
              <w:spacing w:after="20"/>
              <w:ind w:left="20"/>
              <w:jc w:val="both"/>
            </w:pPr>
            <w:r>
              <w:rPr>
                <w:rFonts w:ascii="Times New Roman"/>
                <w:b w:val="false"/>
                <w:i w:val="false"/>
                <w:color w:val="000000"/>
                <w:sz w:val="20"/>
              </w:rPr>
              <w:t>
для физического лица - фамилия, имя, отчество (при его наличии) лица, включенного в состав участников либо исключенного из состава участников;</w:t>
            </w:r>
          </w:p>
          <w:p>
            <w:pPr>
              <w:spacing w:after="20"/>
              <w:ind w:left="20"/>
              <w:jc w:val="both"/>
            </w:pPr>
            <w:r>
              <w:rPr>
                <w:rFonts w:ascii="Times New Roman"/>
                <w:b w:val="false"/>
                <w:i w:val="false"/>
                <w:color w:val="000000"/>
                <w:sz w:val="20"/>
              </w:rPr>
              <w:t>
для юридического лица - полное наименование и место нахождения юридического лица, включенного в состав участников либо исключенного из состава участников.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эмитентом документов, подтверждающих регистрацию изменений в системе реестров держателей ценных бумаг или системе учета номинального держания или Национальном реестре бизнес-идентификационных номеров.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w:t>
            </w:r>
          </w:p>
          <w:p>
            <w:pPr>
              <w:spacing w:after="20"/>
              <w:ind w:left="20"/>
              <w:jc w:val="both"/>
            </w:pPr>
            <w:r>
              <w:rPr>
                <w:rFonts w:ascii="Times New Roman"/>
                <w:b w:val="false"/>
                <w:i w:val="false"/>
                <w:color w:val="000000"/>
                <w:sz w:val="20"/>
              </w:rPr>
              <w:t>
2) решение, принятое советом директоров или соответствующим органом эмитента, не являющегося акционерным обществом, уполномоченным на принятие решения о созыве годового и внеочередного общего собрания акционеров (участников);</w:t>
            </w:r>
          </w:p>
          <w:p>
            <w:pPr>
              <w:spacing w:after="20"/>
              <w:ind w:left="20"/>
              <w:jc w:val="both"/>
            </w:pPr>
            <w:r>
              <w:rPr>
                <w:rFonts w:ascii="Times New Roman"/>
                <w:b w:val="false"/>
                <w:i w:val="false"/>
                <w:color w:val="000000"/>
                <w:sz w:val="20"/>
              </w:rPr>
              <w:t>
3) иные сведения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принятом советом директоров акционерного общества о размещении (реализации) акций, в том числе о количестве размещаемых (реализуемых) акций в пределах количества объявленных акций, способе и цене их размещения (реализации)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w:t>
            </w:r>
          </w:p>
          <w:p>
            <w:pPr>
              <w:spacing w:after="20"/>
              <w:ind w:left="20"/>
              <w:jc w:val="both"/>
            </w:pPr>
            <w:r>
              <w:rPr>
                <w:rFonts w:ascii="Times New Roman"/>
                <w:b w:val="false"/>
                <w:i w:val="false"/>
                <w:color w:val="000000"/>
                <w:sz w:val="20"/>
              </w:rPr>
              <w:t>
2) решение (решения), принятое (принятые) советом директоров;</w:t>
            </w:r>
          </w:p>
          <w:p>
            <w:pPr>
              <w:spacing w:after="20"/>
              <w:ind w:left="20"/>
              <w:jc w:val="both"/>
            </w:pPr>
            <w:r>
              <w:rPr>
                <w:rFonts w:ascii="Times New Roman"/>
                <w:b w:val="false"/>
                <w:i w:val="false"/>
                <w:color w:val="000000"/>
                <w:sz w:val="20"/>
              </w:rPr>
              <w:t>
3) вид и количество размещаемых (реализуемых) акций;</w:t>
            </w:r>
          </w:p>
          <w:p>
            <w:pPr>
              <w:spacing w:after="20"/>
              <w:ind w:left="20"/>
              <w:jc w:val="both"/>
            </w:pPr>
            <w:r>
              <w:rPr>
                <w:rFonts w:ascii="Times New Roman"/>
                <w:b w:val="false"/>
                <w:i w:val="false"/>
                <w:color w:val="000000"/>
                <w:sz w:val="20"/>
              </w:rPr>
              <w:t>
4) способ размещения;</w:t>
            </w:r>
          </w:p>
          <w:p>
            <w:pPr>
              <w:spacing w:after="20"/>
              <w:ind w:left="20"/>
              <w:jc w:val="both"/>
            </w:pPr>
            <w:r>
              <w:rPr>
                <w:rFonts w:ascii="Times New Roman"/>
                <w:b w:val="false"/>
                <w:i w:val="false"/>
                <w:color w:val="000000"/>
                <w:sz w:val="20"/>
              </w:rPr>
              <w:t>
5) цена размещения (реализации);</w:t>
            </w:r>
          </w:p>
          <w:p>
            <w:pPr>
              <w:spacing w:after="20"/>
              <w:ind w:left="20"/>
              <w:jc w:val="both"/>
            </w:pPr>
            <w:r>
              <w:rPr>
                <w:rFonts w:ascii="Times New Roman"/>
                <w:b w:val="false"/>
                <w:i w:val="false"/>
                <w:color w:val="000000"/>
                <w:sz w:val="20"/>
              </w:rPr>
              <w:t>
6) иные сведения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советом директоров акционерного общества.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принятом советом директоров акционерного общества о выкупе акционерным обществом размещенных акций, если количество выкупаемых обществом акций превышает один процент от общего количества размещенных акций, и цене их выкупа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w:t>
            </w:r>
          </w:p>
          <w:p>
            <w:pPr>
              <w:spacing w:after="20"/>
              <w:ind w:left="20"/>
              <w:jc w:val="both"/>
            </w:pPr>
            <w:r>
              <w:rPr>
                <w:rFonts w:ascii="Times New Roman"/>
                <w:b w:val="false"/>
                <w:i w:val="false"/>
                <w:color w:val="000000"/>
                <w:sz w:val="20"/>
              </w:rPr>
              <w:t>
2) решение (решения), принятое (принятые) советом директоров общества;</w:t>
            </w:r>
          </w:p>
          <w:p>
            <w:pPr>
              <w:spacing w:after="20"/>
              <w:ind w:left="20"/>
              <w:jc w:val="both"/>
            </w:pPr>
            <w:r>
              <w:rPr>
                <w:rFonts w:ascii="Times New Roman"/>
                <w:b w:val="false"/>
                <w:i w:val="false"/>
                <w:color w:val="000000"/>
                <w:sz w:val="20"/>
              </w:rPr>
              <w:t>
3) вид и количество выкупаемых акций по инициативе общества;</w:t>
            </w:r>
          </w:p>
          <w:p>
            <w:pPr>
              <w:spacing w:after="20"/>
              <w:ind w:left="20"/>
              <w:jc w:val="both"/>
            </w:pPr>
            <w:r>
              <w:rPr>
                <w:rFonts w:ascii="Times New Roman"/>
                <w:b w:val="false"/>
                <w:i w:val="false"/>
                <w:color w:val="000000"/>
                <w:sz w:val="20"/>
              </w:rPr>
              <w:t>
4) цена выкупаемых по инициативе общества акций;</w:t>
            </w:r>
          </w:p>
          <w:p>
            <w:pPr>
              <w:spacing w:after="20"/>
              <w:ind w:left="20"/>
              <w:jc w:val="both"/>
            </w:pPr>
            <w:r>
              <w:rPr>
                <w:rFonts w:ascii="Times New Roman"/>
                <w:b w:val="false"/>
                <w:i w:val="false"/>
                <w:color w:val="000000"/>
                <w:sz w:val="20"/>
              </w:rPr>
              <w:t>
5) срок и условия выкупа по инициативе общества акций;</w:t>
            </w:r>
          </w:p>
          <w:p>
            <w:pPr>
              <w:spacing w:after="20"/>
              <w:ind w:left="20"/>
              <w:jc w:val="both"/>
            </w:pPr>
            <w:r>
              <w:rPr>
                <w:rFonts w:ascii="Times New Roman"/>
                <w:b w:val="false"/>
                <w:i w:val="false"/>
                <w:color w:val="000000"/>
                <w:sz w:val="20"/>
              </w:rPr>
              <w:t>
6) иные сведения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советом директоров акционерного общества.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принятом советом директоров эмитента или соответствующего органа эмитента, не являющегося акционерным обществом, уполномоченным на принятие решения о выпуске облигаций и производных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w:t>
            </w:r>
          </w:p>
          <w:p>
            <w:pPr>
              <w:spacing w:after="20"/>
              <w:ind w:left="20"/>
              <w:jc w:val="both"/>
            </w:pPr>
            <w:r>
              <w:rPr>
                <w:rFonts w:ascii="Times New Roman"/>
                <w:b w:val="false"/>
                <w:i w:val="false"/>
                <w:color w:val="000000"/>
                <w:sz w:val="20"/>
              </w:rPr>
              <w:t>
2) решение (решения), принятое (принятые) советом директоров или соответствующим органом эмитента, не являющегося акционерным обществом, уполномоченным на принятие решения;</w:t>
            </w:r>
          </w:p>
          <w:p>
            <w:pPr>
              <w:spacing w:after="20"/>
              <w:ind w:left="20"/>
              <w:jc w:val="both"/>
            </w:pPr>
            <w:r>
              <w:rPr>
                <w:rFonts w:ascii="Times New Roman"/>
                <w:b w:val="false"/>
                <w:i w:val="false"/>
                <w:color w:val="000000"/>
                <w:sz w:val="20"/>
              </w:rPr>
              <w:t>
3) количество и вид выпускаемых облигаций и производных ценных бумаг;</w:t>
            </w:r>
          </w:p>
          <w:p>
            <w:pPr>
              <w:spacing w:after="20"/>
              <w:ind w:left="20"/>
              <w:jc w:val="both"/>
            </w:pPr>
            <w:r>
              <w:rPr>
                <w:rFonts w:ascii="Times New Roman"/>
                <w:b w:val="false"/>
                <w:i w:val="false"/>
                <w:color w:val="000000"/>
                <w:sz w:val="20"/>
              </w:rPr>
              <w:t>
4) номинальная стоимость и валюта номинальной стоимости;</w:t>
            </w:r>
          </w:p>
          <w:p>
            <w:pPr>
              <w:spacing w:after="20"/>
              <w:ind w:left="20"/>
              <w:jc w:val="both"/>
            </w:pPr>
            <w:r>
              <w:rPr>
                <w:rFonts w:ascii="Times New Roman"/>
                <w:b w:val="false"/>
                <w:i w:val="false"/>
                <w:color w:val="000000"/>
                <w:sz w:val="20"/>
              </w:rPr>
              <w:t>
5) объем выпуска;</w:t>
            </w:r>
          </w:p>
          <w:p>
            <w:pPr>
              <w:spacing w:after="20"/>
              <w:ind w:left="20"/>
              <w:jc w:val="both"/>
            </w:pPr>
            <w:r>
              <w:rPr>
                <w:rFonts w:ascii="Times New Roman"/>
                <w:b w:val="false"/>
                <w:i w:val="false"/>
                <w:color w:val="000000"/>
                <w:sz w:val="20"/>
              </w:rPr>
              <w:t>
6) иные сведения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принятия решения советом директоров эмитента или соответствующим органом эмитента, не являющегося акционерным обществом, уполномоченным на принятие данного решения.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принятом общим собранием акционеров (единственным акционером) или советом директоров акционерного общества о заключении крупных сделок и (или)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 о крупной сделке и (или) о сделке с заинтересованностью;</w:t>
            </w:r>
          </w:p>
          <w:p>
            <w:pPr>
              <w:spacing w:after="20"/>
              <w:ind w:left="20"/>
              <w:jc w:val="both"/>
            </w:pPr>
            <w:r>
              <w:rPr>
                <w:rFonts w:ascii="Times New Roman"/>
                <w:b w:val="false"/>
                <w:i w:val="false"/>
                <w:color w:val="000000"/>
                <w:sz w:val="20"/>
              </w:rPr>
              <w:t>
2) решение (решения), принятое (принятые) общим собранием акционеров (единственным акционером) или советом директоров акционерного общества;</w:t>
            </w:r>
          </w:p>
          <w:p>
            <w:pPr>
              <w:spacing w:after="20"/>
              <w:ind w:left="20"/>
              <w:jc w:val="both"/>
            </w:pPr>
            <w:r>
              <w:rPr>
                <w:rFonts w:ascii="Times New Roman"/>
                <w:b w:val="false"/>
                <w:i w:val="false"/>
                <w:color w:val="000000"/>
                <w:sz w:val="20"/>
              </w:rPr>
              <w:t>
3) вид сделки;</w:t>
            </w:r>
          </w:p>
          <w:p>
            <w:pPr>
              <w:spacing w:after="20"/>
              <w:ind w:left="20"/>
              <w:jc w:val="both"/>
            </w:pPr>
            <w:r>
              <w:rPr>
                <w:rFonts w:ascii="Times New Roman"/>
                <w:b w:val="false"/>
                <w:i w:val="false"/>
                <w:color w:val="000000"/>
                <w:sz w:val="20"/>
              </w:rPr>
              <w:t>
4) предмет сделки;</w:t>
            </w:r>
          </w:p>
          <w:p>
            <w:pPr>
              <w:spacing w:after="20"/>
              <w:ind w:left="20"/>
              <w:jc w:val="both"/>
            </w:pPr>
            <w:r>
              <w:rPr>
                <w:rFonts w:ascii="Times New Roman"/>
                <w:b w:val="false"/>
                <w:i w:val="false"/>
                <w:color w:val="000000"/>
                <w:sz w:val="20"/>
              </w:rPr>
              <w:t>
5)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такой сделки. Если решение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Республики Казахстан, при размещении информации публикуется только дата принятия решения о заключении крупной сделки и (или) сделки с заинтересованностью, а также иная информация по решению акционерного общества при наличии согласия контрагента. При принятии в течение одного рабочего дня нескольких решений о заключении акционерным обществом крупной сделки и (или) сделки с заинтересованностью, допускается предоставление информации по таким решениям посредством представления акционерным обществом одной заявки, содержащей информацию по нескольким таким решениям.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принятия решения общим собранием акционеров (единственным акционером) или советом директоров акционерного общества.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списке, и (или) об изменении в списке организаций, в которых эмитент обладает десятью и более процентами акций (долей, паев) каждой такой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список организаций, в которых эмитент обладает десятью и более процентами акций (долей, паев) каждой такой организации;</w:t>
            </w:r>
          </w:p>
          <w:p>
            <w:pPr>
              <w:spacing w:after="20"/>
              <w:ind w:left="20"/>
              <w:jc w:val="both"/>
            </w:pPr>
            <w:r>
              <w:rPr>
                <w:rFonts w:ascii="Times New Roman"/>
                <w:b w:val="false"/>
                <w:i w:val="false"/>
                <w:color w:val="000000"/>
                <w:sz w:val="20"/>
              </w:rPr>
              <w:t>
2) полное наименование организации, в которой эмитент стал обладать (перестал обладать) десятью и более процентами акций (долей, паев);</w:t>
            </w:r>
          </w:p>
          <w:p>
            <w:pPr>
              <w:spacing w:after="20"/>
              <w:ind w:left="20"/>
              <w:jc w:val="both"/>
            </w:pPr>
            <w:r>
              <w:rPr>
                <w:rFonts w:ascii="Times New Roman"/>
                <w:b w:val="false"/>
                <w:i w:val="false"/>
                <w:color w:val="000000"/>
                <w:sz w:val="20"/>
              </w:rPr>
              <w:t>
3) процентное соотношение количества акций (долей, паев) данной организации к общему количеству размещенных акций (долей, паев) организации на дату, следующую за датой изменения списка организаций, в которых эмитент обладает десятью и более процентами акций (долей, паев).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документов подтверждающих, что эмитент стал обладать (перестал обладать) десятью и более процентами акций (долей, паев) в организации.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совершении акционерным обществом крупных сделок и (или) сделок, которые отвечают одновременно следующим условиям: являются сделками, в совершении которых акционерным обществом имеется заинтересованность, и связаны с приобретением или отчуждением имущества, стоимость которого составляет десять и более процентов от размера общей балансовой стоимости активов акционерного общества на дату принятия уполномоченным органом акционерного общества решения о заключении таких сделок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заключения договора о крупной сделке и (или) о сделке с заинтересованностью на дату принятия уполномоченным органом общества решения о заключении такой сделки либо дополнительного соглашения (дополнительного соглашения к договору);</w:t>
            </w:r>
          </w:p>
          <w:p>
            <w:pPr>
              <w:spacing w:after="20"/>
              <w:ind w:left="20"/>
              <w:jc w:val="both"/>
            </w:pPr>
            <w:r>
              <w:rPr>
                <w:rFonts w:ascii="Times New Roman"/>
                <w:b w:val="false"/>
                <w:i w:val="false"/>
                <w:color w:val="000000"/>
                <w:sz w:val="20"/>
              </w:rPr>
              <w:t>
2) предмет крупной сделки и (или) сделки с заинтересованностью;</w:t>
            </w:r>
          </w:p>
          <w:p>
            <w:pPr>
              <w:spacing w:after="20"/>
              <w:ind w:left="20"/>
              <w:jc w:val="both"/>
            </w:pPr>
            <w:r>
              <w:rPr>
                <w:rFonts w:ascii="Times New Roman"/>
                <w:b w:val="false"/>
                <w:i w:val="false"/>
                <w:color w:val="000000"/>
                <w:sz w:val="20"/>
              </w:rPr>
              <w:t>
3) дата принятия органом акционерного общества решения о заключении крупной сделки и (или) сделки с заинтересованностью;</w:t>
            </w:r>
          </w:p>
          <w:p>
            <w:pPr>
              <w:spacing w:after="20"/>
              <w:ind w:left="20"/>
              <w:jc w:val="both"/>
            </w:pPr>
            <w:r>
              <w:rPr>
                <w:rFonts w:ascii="Times New Roman"/>
                <w:b w:val="false"/>
                <w:i w:val="false"/>
                <w:color w:val="000000"/>
                <w:sz w:val="20"/>
              </w:rPr>
              <w:t>
4) стоимость имущества, являющегося предметом крупной сделки и (или) сделки с заинтересованностью на дату принятия органом акционерного общества решения о заключении крупной сделки и (или) сделки с заинтересованностью;</w:t>
            </w:r>
          </w:p>
          <w:p>
            <w:pPr>
              <w:spacing w:after="20"/>
              <w:ind w:left="20"/>
              <w:jc w:val="both"/>
            </w:pPr>
            <w:r>
              <w:rPr>
                <w:rFonts w:ascii="Times New Roman"/>
                <w:b w:val="false"/>
                <w:i w:val="false"/>
                <w:color w:val="000000"/>
                <w:sz w:val="20"/>
              </w:rPr>
              <w:t>
5) дата последней оценки имущества, являющегося предметом крупной сделки и (или) сделки с заинтересованностью, за исключением случаев, когда предметом сделки являются деньги и (или) выпускаемые (размещаемые) на первичном рынке ценные бумаги);</w:t>
            </w:r>
          </w:p>
          <w:p>
            <w:pPr>
              <w:spacing w:after="20"/>
              <w:ind w:left="20"/>
              <w:jc w:val="both"/>
            </w:pPr>
            <w:r>
              <w:rPr>
                <w:rFonts w:ascii="Times New Roman"/>
                <w:b w:val="false"/>
                <w:i w:val="false"/>
                <w:color w:val="000000"/>
                <w:sz w:val="20"/>
              </w:rPr>
              <w:t>
6) процентное соотношение стоимости имущества, являющегося предметом крупной сделки и (или) сделки с заинтересованностью, к общей стоимости активов данного акционерного общества, на дату принятия органом акционерного общества решения о заключении крупной сделки и (или) сделки с заинтересованностью;</w:t>
            </w:r>
          </w:p>
          <w:p>
            <w:pPr>
              <w:spacing w:after="20"/>
              <w:ind w:left="20"/>
              <w:jc w:val="both"/>
            </w:pPr>
            <w:r>
              <w:rPr>
                <w:rFonts w:ascii="Times New Roman"/>
                <w:b w:val="false"/>
                <w:i w:val="false"/>
                <w:color w:val="000000"/>
                <w:sz w:val="20"/>
              </w:rPr>
              <w:t>
7) сведения о сторонах крупной сделки и (или) сделки с заинтересованностью, приобретенных или отчуждаемых активах, сроках и условиях сделки, характере и объеме долей участия вовлеченных лиц, а также при наличии иные сведения о сделке.</w:t>
            </w:r>
          </w:p>
          <w:p>
            <w:pPr>
              <w:spacing w:after="20"/>
              <w:ind w:left="20"/>
              <w:jc w:val="both"/>
            </w:pPr>
            <w:r>
              <w:rPr>
                <w:rFonts w:ascii="Times New Roman"/>
                <w:b w:val="false"/>
                <w:i w:val="false"/>
                <w:color w:val="000000"/>
                <w:sz w:val="20"/>
              </w:rPr>
              <w:t>
Если договор о заключении акционерным обществом крупной сделки и (или) сделки с заинтересованностью содержит информацию, составляющую банковскую тайну, тайну страхования, коммерческую тайну на рынке ценных бумаг и иную тайну, охраняемую законами Республики Казахстан, при размещении информации о сделках публикуется только дата заключения, а также иная информация по решению акционерного общества при наличии согласия контрагента.</w:t>
            </w:r>
          </w:p>
          <w:p>
            <w:pPr>
              <w:spacing w:after="20"/>
              <w:ind w:left="20"/>
              <w:jc w:val="both"/>
            </w:pPr>
            <w:r>
              <w:rPr>
                <w:rFonts w:ascii="Times New Roman"/>
                <w:b w:val="false"/>
                <w:i w:val="false"/>
                <w:color w:val="000000"/>
                <w:sz w:val="20"/>
              </w:rPr>
              <w:t>
При заключении в течение одного рабочего дня нескольких крупных сделок и (или) сделок с заинтересованностью, допускается предоставление информации по таким сделкам посредством представления акционерным обществом одной заявки, содержащей информацию по нескольким таким сделкам.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w:t>
            </w:r>
          </w:p>
          <w:p>
            <w:pPr>
              <w:spacing w:after="20"/>
              <w:ind w:left="20"/>
              <w:jc w:val="both"/>
            </w:pPr>
            <w:r>
              <w:rPr>
                <w:rFonts w:ascii="Times New Roman"/>
                <w:b w:val="false"/>
                <w:i w:val="false"/>
                <w:color w:val="000000"/>
                <w:sz w:val="20"/>
              </w:rPr>
              <w:t>
заключения акционерным обществом договора либо дополнительного соглашения к договору;</w:t>
            </w:r>
          </w:p>
          <w:p>
            <w:pPr>
              <w:spacing w:after="20"/>
              <w:ind w:left="20"/>
              <w:jc w:val="both"/>
            </w:pPr>
            <w:r>
              <w:rPr>
                <w:rFonts w:ascii="Times New Roman"/>
                <w:b w:val="false"/>
                <w:i w:val="false"/>
                <w:color w:val="000000"/>
                <w:sz w:val="20"/>
              </w:rPr>
              <w:t>
получения акционерным обществом документов, подтверждающих ее государственную или иную регистрацию, в случае, если для заключения крупной сделки и (или) сделки с заинтересованностью, необходима обязательная государственная или иная регистрация.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решении суда о принудительной ликвидации или реорганизации эмитента, а также о принудительной ликвидации или реорганизации его дочерних и зависимых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 о принудительной ликвидации или реорганизации эмитента, дочерней организации и зависимой организации;</w:t>
            </w:r>
          </w:p>
          <w:p>
            <w:pPr>
              <w:spacing w:after="20"/>
              <w:ind w:left="20"/>
              <w:jc w:val="both"/>
            </w:pPr>
            <w:r>
              <w:rPr>
                <w:rFonts w:ascii="Times New Roman"/>
                <w:b w:val="false"/>
                <w:i w:val="false"/>
                <w:color w:val="000000"/>
                <w:sz w:val="20"/>
              </w:rPr>
              <w:t>
2) наименование государственного органа, принявшего решение о принудительной ликвидации или реорганизации эмитента, дочерней организации и зависимой организации;</w:t>
            </w:r>
          </w:p>
          <w:p>
            <w:pPr>
              <w:spacing w:after="20"/>
              <w:ind w:left="20"/>
              <w:jc w:val="both"/>
            </w:pPr>
            <w:r>
              <w:rPr>
                <w:rFonts w:ascii="Times New Roman"/>
                <w:b w:val="false"/>
                <w:i w:val="false"/>
                <w:color w:val="000000"/>
                <w:sz w:val="20"/>
              </w:rPr>
              <w:t>
3) основание принятия решения о принудительной ликвидации или реорганизации эмитента, дочерней организации и зависимой организации;</w:t>
            </w:r>
          </w:p>
          <w:p>
            <w:pPr>
              <w:spacing w:after="20"/>
              <w:ind w:left="20"/>
              <w:jc w:val="both"/>
            </w:pPr>
            <w:r>
              <w:rPr>
                <w:rFonts w:ascii="Times New Roman"/>
                <w:b w:val="false"/>
                <w:i w:val="false"/>
                <w:color w:val="000000"/>
                <w:sz w:val="20"/>
              </w:rPr>
              <w:t>
4) место нахождения и наименование ликвидируемой или реорганизуемой дочерней организации эмитента и (или) зависимой организации;</w:t>
            </w:r>
          </w:p>
          <w:p>
            <w:pPr>
              <w:spacing w:after="20"/>
              <w:ind w:left="20"/>
              <w:jc w:val="both"/>
            </w:pPr>
            <w:r>
              <w:rPr>
                <w:rFonts w:ascii="Times New Roman"/>
                <w:b w:val="false"/>
                <w:i w:val="false"/>
                <w:color w:val="000000"/>
                <w:sz w:val="20"/>
              </w:rPr>
              <w:t>
5) форма и условия ликвидации или реорганизации эмитента, дочерней организации эмитента и зависимой организации;</w:t>
            </w:r>
          </w:p>
          <w:p>
            <w:pPr>
              <w:spacing w:after="20"/>
              <w:ind w:left="20"/>
              <w:jc w:val="both"/>
            </w:pPr>
            <w:r>
              <w:rPr>
                <w:rFonts w:ascii="Times New Roman"/>
                <w:b w:val="false"/>
                <w:i w:val="false"/>
                <w:color w:val="000000"/>
                <w:sz w:val="20"/>
              </w:rPr>
              <w:t>
6) иные условия принудительной ликвидации или реорганизации эмитента, дочерней организации эмитента и зависимой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вступления в законную силу соответствующего решения суда.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передаче в залог (перезалог) имущества эмитента на сумму, составляющую десять и более процентов от размера общей балансовой стоимости активов данного эмитента, а также снятии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органом эмитента решения о передаче в залог (перезалог);</w:t>
            </w:r>
          </w:p>
          <w:p>
            <w:pPr>
              <w:spacing w:after="20"/>
              <w:ind w:left="20"/>
              <w:jc w:val="both"/>
            </w:pPr>
            <w:r>
              <w:rPr>
                <w:rFonts w:ascii="Times New Roman"/>
                <w:b w:val="false"/>
                <w:i w:val="false"/>
                <w:color w:val="000000"/>
                <w:sz w:val="20"/>
              </w:rPr>
              <w:t>
2) дата возникновения права залога (перезалога) имущества эмитента;</w:t>
            </w:r>
          </w:p>
          <w:p>
            <w:pPr>
              <w:spacing w:after="20"/>
              <w:ind w:left="20"/>
              <w:jc w:val="both"/>
            </w:pPr>
            <w:r>
              <w:rPr>
                <w:rFonts w:ascii="Times New Roman"/>
                <w:b w:val="false"/>
                <w:i w:val="false"/>
                <w:color w:val="000000"/>
                <w:sz w:val="20"/>
              </w:rPr>
              <w:t>
3) стоимость имущества эмитента, передаваемого в залог (перезалог);</w:t>
            </w:r>
          </w:p>
          <w:p>
            <w:pPr>
              <w:spacing w:after="20"/>
              <w:ind w:left="20"/>
              <w:jc w:val="both"/>
            </w:pPr>
            <w:r>
              <w:rPr>
                <w:rFonts w:ascii="Times New Roman"/>
                <w:b w:val="false"/>
                <w:i w:val="false"/>
                <w:color w:val="000000"/>
                <w:sz w:val="20"/>
              </w:rPr>
              <w:t>
4) дата последней оценки имущества эмитента, передаваемого в залог (перезалог) (в случае, если проведение такой оценки требуется в соответствии с законодательством Республики Казахстан);</w:t>
            </w:r>
          </w:p>
          <w:p>
            <w:pPr>
              <w:spacing w:after="20"/>
              <w:ind w:left="20"/>
              <w:jc w:val="both"/>
            </w:pPr>
            <w:r>
              <w:rPr>
                <w:rFonts w:ascii="Times New Roman"/>
                <w:b w:val="false"/>
                <w:i w:val="false"/>
                <w:color w:val="000000"/>
                <w:sz w:val="20"/>
              </w:rPr>
              <w:t>
5) процентное соотношение стоимости имущества, передаваемого в залог (перезалог), к общей стоимости активов данного эмитента на дату принятия органом эмитента решения о передаче в залог (перезалог) имущества эмитента;</w:t>
            </w:r>
          </w:p>
          <w:p>
            <w:pPr>
              <w:spacing w:after="20"/>
              <w:ind w:left="20"/>
              <w:jc w:val="both"/>
            </w:pPr>
            <w:r>
              <w:rPr>
                <w:rFonts w:ascii="Times New Roman"/>
                <w:b w:val="false"/>
                <w:i w:val="false"/>
                <w:color w:val="000000"/>
                <w:sz w:val="20"/>
              </w:rPr>
              <w:t>
6) дата снятия с залога (перезалога).</w:t>
            </w:r>
          </w:p>
          <w:p>
            <w:pPr>
              <w:spacing w:after="20"/>
              <w:ind w:left="20"/>
              <w:jc w:val="both"/>
            </w:pPr>
            <w:r>
              <w:rPr>
                <w:rFonts w:ascii="Times New Roman"/>
                <w:b w:val="false"/>
                <w:i w:val="false"/>
                <w:color w:val="000000"/>
                <w:sz w:val="20"/>
              </w:rPr>
              <w:t>
Если совершенная эмитентом сделка по передаче в залог (перезалог) имущества эмитента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12 настоящего приложения с указанием об этом.</w:t>
            </w:r>
          </w:p>
          <w:p>
            <w:pPr>
              <w:spacing w:after="20"/>
              <w:ind w:left="20"/>
              <w:jc w:val="both"/>
            </w:pPr>
            <w:r>
              <w:rPr>
                <w:rFonts w:ascii="Times New Roman"/>
                <w:b w:val="false"/>
                <w:i w:val="false"/>
                <w:color w:val="000000"/>
                <w:sz w:val="20"/>
              </w:rPr>
              <w:t>
Если договор о передаче в залог (перезалог) имущества эмитента содержит информацию, составляющую банковскую тайну, тайну страхования, коммерческую тайну на рынке ценных бумаг и иную тайну, охраняемую законами Республики Казахстан, при размещении информации о передаче в залог (перезалог) имущества публикуется только дата заключения договора, а также иная информация по решению эмитента при наличии согласия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w:t>
            </w:r>
          </w:p>
          <w:p>
            <w:pPr>
              <w:spacing w:after="20"/>
              <w:ind w:left="20"/>
              <w:jc w:val="both"/>
            </w:pPr>
            <w:r>
              <w:rPr>
                <w:rFonts w:ascii="Times New Roman"/>
                <w:b w:val="false"/>
                <w:i w:val="false"/>
                <w:color w:val="000000"/>
                <w:sz w:val="20"/>
              </w:rPr>
              <w:t>
получения эмитентом документов, подтверждающих регистрацию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подлежит регистрации в соответствии с законами Республики Казахстан;</w:t>
            </w:r>
          </w:p>
          <w:p>
            <w:pPr>
              <w:spacing w:after="20"/>
              <w:ind w:left="20"/>
              <w:jc w:val="both"/>
            </w:pPr>
            <w:r>
              <w:rPr>
                <w:rFonts w:ascii="Times New Roman"/>
                <w:b w:val="false"/>
                <w:i w:val="false"/>
                <w:color w:val="000000"/>
                <w:sz w:val="20"/>
              </w:rPr>
              <w:t>
заключения договора о залоге (перезалоге) имущества эмитента на сумму, составляющую десять и более процентов от размера общей балансовой стоимости активов данного эмитента - в отношении имущества, залог которого не подлежит регистрации в соответствии с законами Республики Казахстан;</w:t>
            </w:r>
          </w:p>
          <w:p>
            <w:pPr>
              <w:spacing w:after="20"/>
              <w:ind w:left="20"/>
              <w:jc w:val="both"/>
            </w:pPr>
            <w:r>
              <w:rPr>
                <w:rFonts w:ascii="Times New Roman"/>
                <w:b w:val="false"/>
                <w:i w:val="false"/>
                <w:color w:val="000000"/>
                <w:sz w:val="20"/>
              </w:rPr>
              <w:t>
получения эмитентом документов, подтверждающих снятие с залога (перезалога) имущества эмитента на сумму, составляющую десять и более процентов от размера общей балансовой стоимости активов данного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номер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p>
            <w:pPr>
              <w:spacing w:after="20"/>
              <w:ind w:left="20"/>
              <w:jc w:val="both"/>
            </w:pPr>
            <w:r>
              <w:rPr>
                <w:rFonts w:ascii="Times New Roman"/>
                <w:b w:val="false"/>
                <w:i w:val="false"/>
                <w:color w:val="000000"/>
                <w:sz w:val="20"/>
              </w:rPr>
              <w:t>
2) наименование государственного органа, принявшего решение об аресте (снятии с ареста имущества) имущества эмитента, стоимость которого составляет десять и более процентов от размера общей балансовой стоимости активов эмитента, основание наложения ареста;</w:t>
            </w:r>
          </w:p>
          <w:p>
            <w:pPr>
              <w:spacing w:after="20"/>
              <w:ind w:left="20"/>
              <w:jc w:val="both"/>
            </w:pPr>
            <w:r>
              <w:rPr>
                <w:rFonts w:ascii="Times New Roman"/>
                <w:b w:val="false"/>
                <w:i w:val="false"/>
                <w:color w:val="000000"/>
                <w:sz w:val="20"/>
              </w:rPr>
              <w:t>
3) наименование имущества эмитента, на которое наложен арест (снят арест) и его процентное соотношение к общей стоимости активов общества на дату ареста (снятия с ареста) имущества общества. В случае наложения ареста (снятия ареста) на деньги должника, находящиеся в банках, организациях, осуществляющих отдельные виды банковских операций, - указание суммы денег, на которую наложен арест (снят арест). В случае наложения ареста (снятия ареста) на ценные бумаги эмитента - общее количество арестованных (снятых с ареста) ценных бумаг, их вид, идентификационный номер, сведения об эмитенте данных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решения о наложении ареста на имущество (снятии с ареста имущества) эмитента, стоимость которого составляет десять и более процентов от размера общей балансовой стоимости активов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получении эмитентом займа в размере, составляющем двадцать пять и более процентов от размера общей балансовой стоимости активов эмитента, а также о полном погашении основного долга и начисленного вознаграждения по данному займу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органом эмитента решения о получении займа (кредитной линии);</w:t>
            </w:r>
          </w:p>
          <w:p>
            <w:pPr>
              <w:spacing w:after="20"/>
              <w:ind w:left="20"/>
              <w:jc w:val="both"/>
            </w:pPr>
            <w:r>
              <w:rPr>
                <w:rFonts w:ascii="Times New Roman"/>
                <w:b w:val="false"/>
                <w:i w:val="false"/>
                <w:color w:val="000000"/>
                <w:sz w:val="20"/>
              </w:rPr>
              <w:t>
2) дата заключения договора о займе (кредитной линии);</w:t>
            </w:r>
          </w:p>
          <w:p>
            <w:pPr>
              <w:spacing w:after="20"/>
              <w:ind w:left="20"/>
              <w:jc w:val="both"/>
            </w:pPr>
            <w:r>
              <w:rPr>
                <w:rFonts w:ascii="Times New Roman"/>
                <w:b w:val="false"/>
                <w:i w:val="false"/>
                <w:color w:val="000000"/>
                <w:sz w:val="20"/>
              </w:rPr>
              <w:t>
3) общий размер займа (кредитной линии) эмитента, определенный договором;</w:t>
            </w:r>
          </w:p>
          <w:p>
            <w:pPr>
              <w:spacing w:after="20"/>
              <w:ind w:left="20"/>
              <w:jc w:val="both"/>
            </w:pPr>
            <w:r>
              <w:rPr>
                <w:rFonts w:ascii="Times New Roman"/>
                <w:b w:val="false"/>
                <w:i w:val="false"/>
                <w:color w:val="000000"/>
                <w:sz w:val="20"/>
              </w:rPr>
              <w:t>
4) цель получения эмитентом займа;</w:t>
            </w:r>
          </w:p>
          <w:p>
            <w:pPr>
              <w:spacing w:after="20"/>
              <w:ind w:left="20"/>
              <w:jc w:val="both"/>
            </w:pPr>
            <w:r>
              <w:rPr>
                <w:rFonts w:ascii="Times New Roman"/>
                <w:b w:val="false"/>
                <w:i w:val="false"/>
                <w:color w:val="000000"/>
                <w:sz w:val="20"/>
              </w:rPr>
              <w:t>
5) процентное соотношение размера полученного эмитентом займа (кредитной линии) к общей балансовой стоимости активов эмитента на дату принятия органом эмитента решения о получении займа;</w:t>
            </w:r>
          </w:p>
          <w:p>
            <w:pPr>
              <w:spacing w:after="20"/>
              <w:ind w:left="20"/>
              <w:jc w:val="both"/>
            </w:pPr>
            <w:r>
              <w:rPr>
                <w:rFonts w:ascii="Times New Roman"/>
                <w:b w:val="false"/>
                <w:i w:val="false"/>
                <w:color w:val="000000"/>
                <w:sz w:val="20"/>
              </w:rPr>
              <w:t>
6) дата полного погашения основного долга и начисленного вознаграждения по данному займу (кредитной линии).</w:t>
            </w:r>
          </w:p>
          <w:p>
            <w:pPr>
              <w:spacing w:after="20"/>
              <w:ind w:left="20"/>
              <w:jc w:val="both"/>
            </w:pPr>
            <w:r>
              <w:rPr>
                <w:rFonts w:ascii="Times New Roman"/>
                <w:b w:val="false"/>
                <w:i w:val="false"/>
                <w:color w:val="000000"/>
                <w:sz w:val="20"/>
              </w:rPr>
              <w:t>
В случае заключения эмитентом кредитной линии, составляющей двадцать пять и более процентов от размера общей балансовой стоимости активов эмитента, информация о данном событии подлежит дополнительному размещению, когда общая сумма выданных и непогашенных займов с учетом начисленного вознаграждения в рамках данной кредитной линии достигнет двадцать пять и более процентов от размера общей балансовой стоимости активов эмитента.</w:t>
            </w:r>
          </w:p>
          <w:p>
            <w:pPr>
              <w:spacing w:after="20"/>
              <w:ind w:left="20"/>
              <w:jc w:val="both"/>
            </w:pPr>
            <w:r>
              <w:rPr>
                <w:rFonts w:ascii="Times New Roman"/>
                <w:b w:val="false"/>
                <w:i w:val="false"/>
                <w:color w:val="000000"/>
                <w:sz w:val="20"/>
              </w:rPr>
              <w:t>
Если совершенная эмитентом сделка по получению займа является одновременно крупной сделкой и (или) сделкой, в совершении которой эмитентом имеется заинтересованность, информация о такой сделке размещается только в соответствии с пунктом 14 настоящего приложения с указанием об этом.</w:t>
            </w:r>
          </w:p>
          <w:p>
            <w:pPr>
              <w:spacing w:after="20"/>
              <w:ind w:left="20"/>
              <w:jc w:val="both"/>
            </w:pPr>
            <w:r>
              <w:rPr>
                <w:rFonts w:ascii="Times New Roman"/>
                <w:b w:val="false"/>
                <w:i w:val="false"/>
                <w:color w:val="000000"/>
                <w:sz w:val="20"/>
              </w:rPr>
              <w:t>
Если договор о получении эмитентом займа содержит информацию, составляющую банковскую тайну, тайну страхования, коммерческую тайну на рынке ценных бумаг и иную тайну, охраняемую законами Республики Казахстан, при размещении информации о получении эмитентом займа публикуется только дата заключения договора, а также иная информация по решению эмитента при наличии согласия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w:t>
            </w:r>
          </w:p>
          <w:p>
            <w:pPr>
              <w:spacing w:after="20"/>
              <w:ind w:left="20"/>
              <w:jc w:val="both"/>
            </w:pPr>
            <w:r>
              <w:rPr>
                <w:rFonts w:ascii="Times New Roman"/>
                <w:b w:val="false"/>
                <w:i w:val="false"/>
                <w:color w:val="000000"/>
                <w:sz w:val="20"/>
              </w:rPr>
              <w:t>
заключения эмитентом договора о займе или кредитной линии в размере, составляющем, двадцать пять и более процентов от размера общей балансовой стоимости активов эмитента или полного погашения эмитентом основного долга и начисленного вознаграждения по данному займу или кредитной линии;</w:t>
            </w:r>
          </w:p>
          <w:p>
            <w:pPr>
              <w:spacing w:after="20"/>
              <w:ind w:left="20"/>
              <w:jc w:val="both"/>
            </w:pPr>
            <w:r>
              <w:rPr>
                <w:rFonts w:ascii="Times New Roman"/>
                <w:b w:val="false"/>
                <w:i w:val="false"/>
                <w:color w:val="000000"/>
                <w:sz w:val="20"/>
              </w:rPr>
              <w:t>
когда общая сумма полученных и непогашенных займов с учетом начисленного вознаграждения в рамках одной кредитной линии достигнет двадцать пять и более процентов от размера общей балансовой стоимости активов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наступлении обстоятельств, носящих чрезвычайный характер, в результате которых было уничтожено имущество эмитента, балансовая стоимость которого составляла десять и более процентов от общего размера активов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наступления обстоятельств, носящих чрезвычайный характер, повлекших уничтожение имущества эмитента;</w:t>
            </w:r>
          </w:p>
          <w:p>
            <w:pPr>
              <w:spacing w:after="20"/>
              <w:ind w:left="20"/>
              <w:jc w:val="both"/>
            </w:pPr>
            <w:r>
              <w:rPr>
                <w:rFonts w:ascii="Times New Roman"/>
                <w:b w:val="false"/>
                <w:i w:val="false"/>
                <w:color w:val="000000"/>
                <w:sz w:val="20"/>
              </w:rPr>
              <w:t>
2) наименование имущества эмитента, уничтоженного в связи с наступлением обстоятельств, носящих чрезвычайный характер;</w:t>
            </w:r>
          </w:p>
          <w:p>
            <w:pPr>
              <w:spacing w:after="20"/>
              <w:ind w:left="20"/>
              <w:jc w:val="both"/>
            </w:pPr>
            <w:r>
              <w:rPr>
                <w:rFonts w:ascii="Times New Roman"/>
                <w:b w:val="false"/>
                <w:i w:val="false"/>
                <w:color w:val="000000"/>
                <w:sz w:val="20"/>
              </w:rPr>
              <w:t>
3) балансовая стоимость уничтоженного имущества эмитента в результате наступления обстоятельств, носящих чрезвычайный характер.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наступления обстоятельств, носящих чрезвычайный характер, повлекших уничтожение имущества эмитента, балансовая стоимость которого составляла десять и более процентов от общего размера активов 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возбуждении в суде дела по корпоративному спору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сведения об истце, ответчике по корпоративному спору (фамилия, имя, отчество (при его наличии) (для физического лица), полное наименование, место нахождения (для юридического лица));</w:t>
            </w:r>
          </w:p>
          <w:p>
            <w:pPr>
              <w:spacing w:after="20"/>
              <w:ind w:left="20"/>
              <w:jc w:val="both"/>
            </w:pPr>
            <w:r>
              <w:rPr>
                <w:rFonts w:ascii="Times New Roman"/>
                <w:b w:val="false"/>
                <w:i w:val="false"/>
                <w:color w:val="000000"/>
                <w:sz w:val="20"/>
              </w:rPr>
              <w:t>
2) дата искового заявления, краткое содержание исковых требований;</w:t>
            </w:r>
          </w:p>
          <w:p>
            <w:pPr>
              <w:spacing w:after="20"/>
              <w:ind w:left="20"/>
              <w:jc w:val="both"/>
            </w:pPr>
            <w:r>
              <w:rPr>
                <w:rFonts w:ascii="Times New Roman"/>
                <w:b w:val="false"/>
                <w:i w:val="false"/>
                <w:color w:val="000000"/>
                <w:sz w:val="20"/>
              </w:rPr>
              <w:t>
3) наименование суда, в котором рассматривается исковое заявление по корпоративному спору.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эмитентом соответствующего судебного извещения (вызова) по гражданскому делу по корпоративному спору.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получении (прекращении, приостановлении) разрешений первой категории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разрешительного органа, выдавшего разрешение первой категории, принявшего решение о приостановлении, прекращении действия разрешения первой категории;</w:t>
            </w:r>
          </w:p>
          <w:p>
            <w:pPr>
              <w:spacing w:after="20"/>
              <w:ind w:left="20"/>
              <w:jc w:val="both"/>
            </w:pPr>
            <w:r>
              <w:rPr>
                <w:rFonts w:ascii="Times New Roman"/>
                <w:b w:val="false"/>
                <w:i w:val="false"/>
                <w:color w:val="000000"/>
                <w:sz w:val="20"/>
              </w:rPr>
              <w:t>
2) дата выдачи, номер разрешения первой категории, срок действия разрешения;</w:t>
            </w:r>
          </w:p>
          <w:p>
            <w:pPr>
              <w:spacing w:after="20"/>
              <w:ind w:left="20"/>
              <w:jc w:val="both"/>
            </w:pPr>
            <w:r>
              <w:rPr>
                <w:rFonts w:ascii="Times New Roman"/>
                <w:b w:val="false"/>
                <w:i w:val="false"/>
                <w:color w:val="000000"/>
                <w:sz w:val="20"/>
              </w:rPr>
              <w:t>
3) наименование вида деятельности, которое будет осуществляться в соответствии с разрешением первой категории;</w:t>
            </w:r>
          </w:p>
          <w:p>
            <w:pPr>
              <w:spacing w:after="20"/>
              <w:ind w:left="20"/>
              <w:jc w:val="both"/>
            </w:pPr>
            <w:r>
              <w:rPr>
                <w:rFonts w:ascii="Times New Roman"/>
                <w:b w:val="false"/>
                <w:i w:val="false"/>
                <w:color w:val="000000"/>
                <w:sz w:val="20"/>
              </w:rPr>
              <w:t>
4) дата принятия разрешительным органом решений о приостановлении (сроке приостановления), дате возобновления действия разрешения первой категории;</w:t>
            </w:r>
          </w:p>
          <w:p>
            <w:pPr>
              <w:spacing w:after="20"/>
              <w:ind w:left="20"/>
              <w:jc w:val="both"/>
            </w:pPr>
            <w:r>
              <w:rPr>
                <w:rFonts w:ascii="Times New Roman"/>
                <w:b w:val="false"/>
                <w:i w:val="false"/>
                <w:color w:val="000000"/>
                <w:sz w:val="20"/>
              </w:rPr>
              <w:t>
5) основание приостановления (возобновления) разрешения первой категории;</w:t>
            </w:r>
          </w:p>
          <w:p>
            <w:pPr>
              <w:spacing w:after="20"/>
              <w:ind w:left="20"/>
              <w:jc w:val="both"/>
            </w:pPr>
            <w:r>
              <w:rPr>
                <w:rFonts w:ascii="Times New Roman"/>
                <w:b w:val="false"/>
                <w:i w:val="false"/>
                <w:color w:val="000000"/>
                <w:sz w:val="20"/>
              </w:rPr>
              <w:t>
6) наименование вида деятельности, разрешение, на осуществление которого было приостановлено (возобновлено);</w:t>
            </w:r>
          </w:p>
          <w:p>
            <w:pPr>
              <w:spacing w:after="20"/>
              <w:ind w:left="20"/>
              <w:jc w:val="both"/>
            </w:pPr>
            <w:r>
              <w:rPr>
                <w:rFonts w:ascii="Times New Roman"/>
                <w:b w:val="false"/>
                <w:i w:val="false"/>
                <w:color w:val="000000"/>
                <w:sz w:val="20"/>
              </w:rPr>
              <w:t>
7) дата принятия разрешительным органом решения о прекращении действия разрешения первой категории;</w:t>
            </w:r>
          </w:p>
          <w:p>
            <w:pPr>
              <w:spacing w:after="20"/>
              <w:ind w:left="20"/>
              <w:jc w:val="both"/>
            </w:pPr>
            <w:r>
              <w:rPr>
                <w:rFonts w:ascii="Times New Roman"/>
                <w:b w:val="false"/>
                <w:i w:val="false"/>
                <w:color w:val="000000"/>
                <w:sz w:val="20"/>
              </w:rPr>
              <w:t>
8) основание прекращения действия разрешения первой категории;</w:t>
            </w:r>
          </w:p>
          <w:p>
            <w:pPr>
              <w:spacing w:after="20"/>
              <w:ind w:left="20"/>
              <w:jc w:val="both"/>
            </w:pPr>
            <w:r>
              <w:rPr>
                <w:rFonts w:ascii="Times New Roman"/>
                <w:b w:val="false"/>
                <w:i w:val="false"/>
                <w:color w:val="000000"/>
                <w:sz w:val="20"/>
              </w:rPr>
              <w:t>
9) наименование вида деятельности, разрешение, на осуществление которого было прекращено.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эмитентом документов о получении (прекращении, приостановлении) разрешений первой категории.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изменении эмитентом негосударственных ценных бумаг основных видов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принятия решения об изменении основных видов деятельности;</w:t>
            </w:r>
          </w:p>
          <w:p>
            <w:pPr>
              <w:spacing w:after="20"/>
              <w:ind w:left="20"/>
              <w:jc w:val="both"/>
            </w:pPr>
            <w:r>
              <w:rPr>
                <w:rFonts w:ascii="Times New Roman"/>
                <w:b w:val="false"/>
                <w:i w:val="false"/>
                <w:color w:val="000000"/>
                <w:sz w:val="20"/>
              </w:rPr>
              <w:t>
2) наименование измененных видов деятельности;</w:t>
            </w:r>
          </w:p>
          <w:p>
            <w:pPr>
              <w:spacing w:after="20"/>
              <w:ind w:left="20"/>
              <w:jc w:val="both"/>
            </w:pPr>
            <w:r>
              <w:rPr>
                <w:rFonts w:ascii="Times New Roman"/>
                <w:b w:val="false"/>
                <w:i w:val="false"/>
                <w:color w:val="000000"/>
                <w:sz w:val="20"/>
              </w:rPr>
              <w:t>
3) дата государственной регистрации устава и (или) изменений в устав эмитента;</w:t>
            </w:r>
          </w:p>
          <w:p>
            <w:pPr>
              <w:spacing w:after="20"/>
              <w:ind w:left="20"/>
              <w:jc w:val="both"/>
            </w:pPr>
            <w:r>
              <w:rPr>
                <w:rFonts w:ascii="Times New Roman"/>
                <w:b w:val="false"/>
                <w:i w:val="false"/>
                <w:color w:val="000000"/>
                <w:sz w:val="20"/>
              </w:rPr>
              <w:t>
4) сканированная копия устава и (или) изменений в устав.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получения зарегистрированного в уполномоченном органе устава и (или) изменений в устав.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определения стоимости акций при их выкупе акционерным обществом на неорганизованном рынке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дата решения, принятого общим собранием учредителей (единственным учредителем)</w:t>
            </w:r>
          </w:p>
          <w:p>
            <w:pPr>
              <w:spacing w:after="20"/>
              <w:ind w:left="20"/>
              <w:jc w:val="both"/>
            </w:pPr>
            <w:r>
              <w:rPr>
                <w:rFonts w:ascii="Times New Roman"/>
                <w:b w:val="false"/>
                <w:i w:val="false"/>
                <w:color w:val="000000"/>
                <w:sz w:val="20"/>
              </w:rPr>
              <w:t>
2) дата решения, принятого</w:t>
            </w:r>
          </w:p>
          <w:p>
            <w:pPr>
              <w:spacing w:after="20"/>
              <w:ind w:left="20"/>
              <w:jc w:val="both"/>
            </w:pPr>
            <w:r>
              <w:rPr>
                <w:rFonts w:ascii="Times New Roman"/>
                <w:b w:val="false"/>
                <w:i w:val="false"/>
                <w:color w:val="000000"/>
                <w:sz w:val="20"/>
              </w:rPr>
              <w:t>
общим собранием акционеров (единственным акционером) акционерного общества об утверждении методики, если она не была утверждена учредительным собранием;</w:t>
            </w:r>
          </w:p>
          <w:p>
            <w:pPr>
              <w:spacing w:after="20"/>
              <w:ind w:left="20"/>
              <w:jc w:val="both"/>
            </w:pPr>
            <w:r>
              <w:rPr>
                <w:rFonts w:ascii="Times New Roman"/>
                <w:b w:val="false"/>
                <w:i w:val="false"/>
                <w:color w:val="000000"/>
                <w:sz w:val="20"/>
              </w:rPr>
              <w:t>
3) дата решения, принятого</w:t>
            </w:r>
          </w:p>
          <w:p>
            <w:pPr>
              <w:spacing w:after="20"/>
              <w:ind w:left="20"/>
              <w:jc w:val="both"/>
            </w:pPr>
            <w:r>
              <w:rPr>
                <w:rFonts w:ascii="Times New Roman"/>
                <w:b w:val="false"/>
                <w:i w:val="false"/>
                <w:color w:val="000000"/>
                <w:sz w:val="20"/>
              </w:rPr>
              <w:t>
общим собранием акционеров (единственным акционером) акционерного общества об утверждении изменений в методику;</w:t>
            </w:r>
          </w:p>
          <w:p>
            <w:pPr>
              <w:spacing w:after="20"/>
              <w:ind w:left="20"/>
              <w:jc w:val="both"/>
            </w:pPr>
            <w:r>
              <w:rPr>
                <w:rFonts w:ascii="Times New Roman"/>
                <w:b w:val="false"/>
                <w:i w:val="false"/>
                <w:color w:val="000000"/>
                <w:sz w:val="20"/>
              </w:rPr>
              <w:t xml:space="preserve">
 4) электронный вариант методики в формате PDF со всеми изменениями и дополнениями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 после даты получения документов, подтверждающих государственную регистрацию уполномоченным органом проспекта выпуска акций, в случае утверждения методики на учредительном собрании (единственным учредителем) акционерного общества или в течение 10 (десяти) рабочих дней после даты принятия решения общим собранием акционеров (единственным акционером) в случае утверждения методики и (или) изменений в методику на общем собрании акционеров общества (единственным акционером).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иных событиях,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сведения, затрагивающие интересы акционеров (участников) эмитента и (или) инвесторов, в соответствии с уставом и проспектом выпуска эмиссионных ценных бумаг эмитента;</w:t>
            </w:r>
          </w:p>
          <w:p>
            <w:pPr>
              <w:spacing w:after="20"/>
              <w:ind w:left="20"/>
              <w:jc w:val="both"/>
            </w:pPr>
            <w:r>
              <w:rPr>
                <w:rFonts w:ascii="Times New Roman"/>
                <w:b w:val="false"/>
                <w:i w:val="false"/>
                <w:color w:val="000000"/>
                <w:sz w:val="20"/>
              </w:rPr>
              <w:t>
2) при несоблюдении эмитентом условий, предусмотренных проспектом выпуска негосударственных облигаций:</w:t>
            </w:r>
          </w:p>
          <w:p>
            <w:pPr>
              <w:spacing w:after="20"/>
              <w:ind w:left="20"/>
              <w:jc w:val="both"/>
            </w:pPr>
            <w:r>
              <w:rPr>
                <w:rFonts w:ascii="Times New Roman"/>
                <w:b w:val="false"/>
                <w:i w:val="false"/>
                <w:color w:val="000000"/>
                <w:sz w:val="20"/>
              </w:rPr>
              <w:t>
объем неисполненных обязательств, причина неисполнения обязательств, с указанием национального идентификационного номера (НИН) или международного идентификационного номера (ISIN) облигаций, вида облигаций, количества размещенных облигаций, размера купонной ставки, даты дефолта, суммы задолженности по купонному вознаграждению, суммы задолженности по основному долгу, остатка неурегулированного долга.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 (трех) рабочих дней после даты возникновения иных событий, затрагивающих интересы акционеров (участников) эмитента и (или) инвесторов, в соответствии с уставом и проспектом выпуска эмиссионных ценных бумаг эмитента, если законом Республики Казахстан "Об акционерных обществах" и Законом о рынке ценных бумаг не предусмотрены иные сроки доведения до сведения держателей ценных бумаг информации.</w:t>
            </w:r>
          </w:p>
          <w:p>
            <w:pPr>
              <w:spacing w:after="20"/>
              <w:ind w:left="20"/>
              <w:jc w:val="both"/>
            </w:pPr>
            <w:r>
              <w:rPr>
                <w:rFonts w:ascii="Times New Roman"/>
                <w:b w:val="false"/>
                <w:i w:val="false"/>
                <w:color w:val="000000"/>
                <w:sz w:val="20"/>
              </w:rPr>
              <w:t>
в течение 3 (трех) рабочих дней после даты несоблюдения эмитентом условий, предусмотренных проспектом выпуска негосударственных облигаций.</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раскрытия</w:t>
            </w:r>
            <w:r>
              <w:br/>
            </w:r>
            <w:r>
              <w:rPr>
                <w:rFonts w:ascii="Times New Roman"/>
                <w:b w:val="false"/>
                <w:i w:val="false"/>
                <w:color w:val="000000"/>
                <w:sz w:val="20"/>
              </w:rPr>
              <w:t>эмитентом информации</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Сведения об аффилированных лицах акционерного общества (наименование акционерного общества)</w:t>
      </w:r>
    </w:p>
    <w:p>
      <w:pPr>
        <w:spacing w:after="0"/>
        <w:ind w:left="0"/>
        <w:jc w:val="both"/>
      </w:pPr>
      <w:r>
        <w:rPr>
          <w:rFonts w:ascii="Times New Roman"/>
          <w:b w:val="false"/>
          <w:i w:val="false"/>
          <w:color w:val="ff0000"/>
          <w:sz w:val="28"/>
        </w:rPr>
        <w:t xml:space="preserve">
      Сноска. Приложение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международный идентификационный номер (код ISIN) выпуска объявленных акций в соответствии с данными государственного реестра эмиссионных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 которую представляются сведения об аффилированных лицах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индивидуальный идентификационный номер (ИИН)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признания аффилированности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появления аффилированности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юридического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государственной регистрации юридического лица, бизнес-идентификационный номер (БИН), почтовый адрес и фактическое место нахождения юридического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признания аффилированности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появления аффилированности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Наименование______________________ Адрес________________________</w:t>
      </w:r>
    </w:p>
    <w:p>
      <w:pPr>
        <w:spacing w:after="0"/>
        <w:ind w:left="0"/>
        <w:jc w:val="both"/>
      </w:pPr>
      <w:r>
        <w:rPr>
          <w:rFonts w:ascii="Times New Roman"/>
          <w:b w:val="false"/>
          <w:i w:val="false"/>
          <w:color w:val="000000"/>
          <w:sz w:val="28"/>
        </w:rPr>
        <w:t>
      Телефон __________________________________________________________</w:t>
      </w:r>
    </w:p>
    <w:p>
      <w:pPr>
        <w:spacing w:after="0"/>
        <w:ind w:left="0"/>
        <w:jc w:val="both"/>
      </w:pPr>
      <w:r>
        <w:rPr>
          <w:rFonts w:ascii="Times New Roman"/>
          <w:b w:val="false"/>
          <w:i w:val="false"/>
          <w:color w:val="000000"/>
          <w:sz w:val="28"/>
        </w:rPr>
        <w:t>
      Адрес электронной почты ___________________________________________</w:t>
      </w:r>
    </w:p>
    <w:p>
      <w:pPr>
        <w:spacing w:after="0"/>
        <w:ind w:left="0"/>
        <w:jc w:val="both"/>
      </w:pPr>
      <w:r>
        <w:rPr>
          <w:rFonts w:ascii="Times New Roman"/>
          <w:b w:val="false"/>
          <w:i w:val="false"/>
          <w:color w:val="000000"/>
          <w:sz w:val="28"/>
        </w:rPr>
        <w:t>
      Исполнитель_______________________________________ 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
      __________________________________________________ 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сведений об</w:t>
            </w:r>
            <w:r>
              <w:br/>
            </w:r>
            <w:r>
              <w:rPr>
                <w:rFonts w:ascii="Times New Roman"/>
                <w:b w:val="false"/>
                <w:i w:val="false"/>
                <w:color w:val="000000"/>
                <w:sz w:val="20"/>
              </w:rPr>
              <w:t>аффилированных лицах</w:t>
            </w:r>
            <w:r>
              <w:br/>
            </w:r>
            <w:r>
              <w:rPr>
                <w:rFonts w:ascii="Times New Roman"/>
                <w:b w:val="false"/>
                <w:i w:val="false"/>
                <w:color w:val="000000"/>
                <w:sz w:val="20"/>
              </w:rPr>
              <w:t>акционерного общества</w:t>
            </w:r>
          </w:p>
        </w:tc>
      </w:tr>
    </w:tbl>
    <w:p>
      <w:pPr>
        <w:spacing w:after="0"/>
        <w:ind w:left="0"/>
        <w:jc w:val="left"/>
      </w:pPr>
      <w:r>
        <w:rPr>
          <w:rFonts w:ascii="Times New Roman"/>
          <w:b/>
          <w:i w:val="false"/>
          <w:color w:val="000000"/>
        </w:rPr>
        <w:t xml:space="preserve"> Пояснение по заполнению формы "Сведения об аффилированных лицах акционерного общества"</w:t>
      </w:r>
    </w:p>
    <w:p>
      <w:pPr>
        <w:spacing w:after="0"/>
        <w:ind w:left="0"/>
        <w:jc w:val="both"/>
      </w:pPr>
      <w:r>
        <w:rPr>
          <w:rFonts w:ascii="Times New Roman"/>
          <w:b w:val="false"/>
          <w:i w:val="false"/>
          <w:color w:val="ff0000"/>
          <w:sz w:val="28"/>
        </w:rPr>
        <w:t xml:space="preserve">
      Сноска. Приложение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"Сведения об аффилированных лицах акционерного общества" (далее - Форма).</w:t>
      </w:r>
    </w:p>
    <w:p>
      <w:pPr>
        <w:spacing w:after="0"/>
        <w:ind w:left="0"/>
        <w:jc w:val="both"/>
      </w:pPr>
      <w:r>
        <w:rPr>
          <w:rFonts w:ascii="Times New Roman"/>
          <w:b w:val="false"/>
          <w:i w:val="false"/>
          <w:color w:val="000000"/>
          <w:sz w:val="28"/>
        </w:rPr>
        <w:t>
      2. Формат разработана в соответствии с подпунктом 3) пункта 2 статьи 102 Закона Республики Казахстан "О рынке ценных бумаг".</w:t>
      </w:r>
    </w:p>
    <w:p>
      <w:pPr>
        <w:spacing w:after="0"/>
        <w:ind w:left="0"/>
        <w:jc w:val="both"/>
      </w:pPr>
      <w:r>
        <w:rPr>
          <w:rFonts w:ascii="Times New Roman"/>
          <w:b w:val="false"/>
          <w:i w:val="false"/>
          <w:color w:val="000000"/>
          <w:sz w:val="28"/>
        </w:rPr>
        <w:t>
      3. Форма составляется акционерным обществом ежеквартально и заполняется по состоянию на 1 января, 1 апреля, 1 июля и 1 октября отчетного года.</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4. В графе 3 для указания сведений об аффилированных лицах акционерного общества, являющихся физическими лицами, дата рождения указывается в формате - дд.мм.гг (день/месяц/год) в одной графе с индивидуальным идентификационным номером (ИИН) без разделения на отдельные строки.</w:t>
      </w:r>
    </w:p>
    <w:p>
      <w:pPr>
        <w:spacing w:after="0"/>
        <w:ind w:left="0"/>
        <w:jc w:val="both"/>
      </w:pPr>
      <w:r>
        <w:rPr>
          <w:rFonts w:ascii="Times New Roman"/>
          <w:b w:val="false"/>
          <w:i w:val="false"/>
          <w:color w:val="000000"/>
          <w:sz w:val="28"/>
        </w:rPr>
        <w:t>
      5. В графе 3 для указания сведений об аффилированных лицах акционерного общества, являющихся юридическими лицами, дата и номер государственной регистрации юридического лица, бизнес-идентификационный номер (БИН), почтовый адрес и фактическое место нахождения юридического лица указываются в одной графе без разделения на отдельные строки.</w:t>
      </w:r>
    </w:p>
    <w:p>
      <w:pPr>
        <w:spacing w:after="0"/>
        <w:ind w:left="0"/>
        <w:jc w:val="both"/>
      </w:pPr>
      <w:r>
        <w:rPr>
          <w:rFonts w:ascii="Times New Roman"/>
          <w:b w:val="false"/>
          <w:i w:val="false"/>
          <w:color w:val="000000"/>
          <w:sz w:val="28"/>
        </w:rPr>
        <w:t>
      6. В графе 4 необходимо сделать ссылку на соответствующий подпункт пунктов 1 и 1-1 статьи 64 Закона Республики Казахстан от 13 мая 2003 года "Об акционерных обществах" или статью 5 Закона Республики Казахстан от 16 января 2026 года "О банках и банковской деятельности в Республике Казахстан" - для банков второго уровня.</w:t>
      </w:r>
    </w:p>
    <w:p>
      <w:pPr>
        <w:spacing w:after="0"/>
        <w:ind w:left="0"/>
        <w:jc w:val="both"/>
      </w:pPr>
      <w:r>
        <w:rPr>
          <w:rFonts w:ascii="Times New Roman"/>
          <w:b w:val="false"/>
          <w:i w:val="false"/>
          <w:color w:val="000000"/>
          <w:sz w:val="28"/>
        </w:rPr>
        <w:t>
      7. В графе 5 дата появления аффилированности указывается в формате - дд.мм.гг (день/месяц/год).</w:t>
      </w:r>
    </w:p>
    <w:p>
      <w:pPr>
        <w:spacing w:after="0"/>
        <w:ind w:left="0"/>
        <w:jc w:val="both"/>
      </w:pPr>
      <w:r>
        <w:rPr>
          <w:rFonts w:ascii="Times New Roman"/>
          <w:b w:val="false"/>
          <w:i w:val="false"/>
          <w:color w:val="000000"/>
          <w:sz w:val="28"/>
        </w:rPr>
        <w:t>
      8. В графах 3 и 5 даты заполняются полностью цифрами и устанавливаются на основании информации, представленной акционерами и должностными лицами акционерного общества в порядке, установленной уставом акционерного общества.</w:t>
      </w:r>
    </w:p>
    <w:p>
      <w:pPr>
        <w:spacing w:after="0"/>
        <w:ind w:left="0"/>
        <w:jc w:val="both"/>
      </w:pPr>
      <w:r>
        <w:rPr>
          <w:rFonts w:ascii="Times New Roman"/>
          <w:b w:val="false"/>
          <w:i w:val="false"/>
          <w:color w:val="000000"/>
          <w:sz w:val="28"/>
        </w:rPr>
        <w:t>
      9. Индивидуальный идентификационный номер (ИИН) и Резидентство аффилированного лица акционерного общества, являющегося физическим лицом, не публикуется в открытом доступе на интернет-ресурсе депозитария финансовой отчетности.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