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8f4fc" w14:textId="cd8f4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 июля 2019 года № 470. Зарегистрирован в Министерстве юстиции Республики Казахстан 4 июля 2019 года № 18967. Утратил силу приказом и.о. Министра промышленности и строительства Республики Казахстан от 24 июня 2026 года № 330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Закона Республики Казахстан от 6 апреля 2016 года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 в Реестре государственной регистрации нормативных правовых актов за № 10795, опубликован 15 мая 2015 года в информационно-правовой системе "Әділет")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и осуществления функций заказчика (застройщика),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11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"18) рассматривает предложения и по согласованию с разработчиком проектно-сметной документации принимает решения по внесению изменений в утвержденную проектно-сметную документацию непринципиального характера, не влияющих на конструктивную схему объекта, на его объемно-планировочные, инженерно-технические или технологические проектные решения и на утвержденные технико-экономические показатели, с последующим оформлением и сдачей на хранение.";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обеспечивает приемку и оплату фактически выполненных работ, в сроки и порядке, которые установлены законодательными актами или договором.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фактические расходы подрядчика оказались меньше тех, которые учитывались при определении цены (составлении сметы и транспортной схемы доставки строительных материалов, изделий и конструкций), заказчик производит оплату выполненных работ по цене, предусмотренной договором, за исключением случая, когда проектно-сметная документация составлялась подрядчиком самостоятельно и/или по его заказу.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когда заказчик имеет несколько различных источников финансирования объектов, смета расходов согласовывается с каждым инвестором с соблюдением пропорций расходования средств, в соответствии с объемом финансирования каждого инвестора;";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приказу, текст на государственном языке не меняется.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июля 2019 года № 470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функций заказчика (застройщика)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p>
      <w:pPr>
        <w:spacing w:after="0"/>
        <w:ind w:left="0"/>
        <w:jc w:val="both"/>
      </w:pPr>
      <w:bookmarkStart w:name="z24" w:id="14"/>
      <w:r>
        <w:rPr>
          <w:rFonts w:ascii="Times New Roman"/>
          <w:b w:val="false"/>
          <w:i w:val="false"/>
          <w:color w:val="000000"/>
          <w:sz w:val="28"/>
        </w:rPr>
        <w:t>
      Заказчик: _______________________________________________________________________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идентификационный номер, адрес, данные о средствах связи)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Подрядчик: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идентификационный номер, адрес, данные о средствах связи)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Стройка: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(наименование,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Объект: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(наименование,)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подряда (контракт) №_______ от _____________</w:t>
      </w:r>
    </w:p>
    <w:bookmarkStart w:name="z25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Акт выполненных работ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за 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(месяц, год) на ______________________________ работы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Составлен (а) в текущих ценах на 20___ год. тенге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поз. по смете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норм, код ресурса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 и затрат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единицы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машин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рабочих строителей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машинистов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Выполнено работ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Накладные расходы,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стоимость с НР и СП,  тенге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происхождения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машин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рабочих строителей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машинистов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оборудование, мебель, инвентарь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Сметная прибыль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Сдал (Подрядчик)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Принял (Заказчик)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организации, бизнес-идентификационный номер или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организации, бизнес-идентификационный номер или индивидуальный идентификационный номер)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(должность, подпись, расшифровка подписи)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(должность, подпись, расшифровка подписи)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</w:tc>
      </w:tr>
    </w:tbl>
    <w:p>
      <w:pPr>
        <w:spacing w:after="0"/>
        <w:ind w:left="0"/>
        <w:jc w:val="both"/>
      </w:pPr>
      <w:bookmarkStart w:name="z34" w:id="23"/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Эксперт(ы) технического надзора:__________________________________________________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(должность,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№ аттестата, подпись)</w:t>
      </w:r>
    </w:p>
    <w:p>
      <w:pPr>
        <w:spacing w:after="0"/>
        <w:ind w:left="0"/>
        <w:jc w:val="both"/>
      </w:pPr>
      <w:bookmarkStart w:name="z35" w:id="24"/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Разработчики проекта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эксперт(ы) авторского надзора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индивидуальный,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№ аттестата или приказа, подпись)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 применяется для актов выполненных работ, составленным по сметам с использованием ресурсного метода.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графе 14 указываются сведения по тем материальным ресурсам и оборудованию, которые в акте выполненных работ учитываются отдельной строкой.</w:t>
      </w:r>
    </w:p>
    <w:bookmarkEnd w:id="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