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def5f11" w14:textId="def5f11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Об утверждении Требований к Правилам внутреннего контроля в целях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для фондовой биржи и организаций, осуществляющих клиринговую деятельность по сделкам с финансовыми инструментами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Правления Агентства Республики Казахстан по регулированию и развитию финансового рынка от 12 октября 2020 года № 98. Зарегистрировано в Министерстве юстиции Республики Казахстан 14 октября 2020 года № 21424.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Заголовок - в редакции постановления Правления Агентства РК по регулированию и развитию финансового рынка от 12.12.2025 </w:t>
      </w:r>
      <w:r>
        <w:rPr>
          <w:rFonts w:ascii="Times New Roman"/>
          <w:b w:val="false"/>
          <w:i w:val="false"/>
          <w:color w:val="000000"/>
          <w:sz w:val="28"/>
        </w:rPr>
        <w:t>№ 78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>Настоящее постановление вводится в действие с 15 ноября 2020 года.</w:t>
      </w:r>
    </w:p>
    <w:bookmarkStart w:name="z5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соответствии с пунктом 3-2 </w:t>
      </w:r>
      <w:r>
        <w:rPr>
          <w:rFonts w:ascii="Times New Roman"/>
          <w:b w:val="false"/>
          <w:i w:val="false"/>
          <w:color w:val="000000"/>
          <w:sz w:val="28"/>
        </w:rPr>
        <w:t>статьи 11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противодействии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уничтожения" Правление Агентства Республики Казахстан по регулированию и развитию финансового рынка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</w:p>
    <w:bookmarkEnd w:id="0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Преамбула – в редакции постановления Правления Агентства РК по регулированию и развитию финансового рынка от 12.12.2025 </w:t>
      </w:r>
      <w:r>
        <w:rPr>
          <w:rFonts w:ascii="Times New Roman"/>
          <w:b w:val="false"/>
          <w:i w:val="false"/>
          <w:color w:val="000000"/>
          <w:sz w:val="28"/>
        </w:rPr>
        <w:t>№ 78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6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Утвердить прилагаемые </w:t>
      </w:r>
      <w:r>
        <w:rPr>
          <w:rFonts w:ascii="Times New Roman"/>
          <w:b w:val="false"/>
          <w:i w:val="false"/>
          <w:color w:val="000000"/>
          <w:sz w:val="28"/>
        </w:rPr>
        <w:t>Требования</w:t>
      </w:r>
      <w:r>
        <w:rPr>
          <w:rFonts w:ascii="Times New Roman"/>
          <w:b w:val="false"/>
          <w:i w:val="false"/>
          <w:color w:val="000000"/>
          <w:sz w:val="28"/>
        </w:rPr>
        <w:t xml:space="preserve"> к Правилам внутреннего контроля в целях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для фондовой биржи и организаций, осуществляющих клиринговую деятельность по сделкам с финансовыми инструментами.</w:t>
      </w:r>
    </w:p>
    <w:bookmarkEnd w:id="1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Сноска. Пункт 1 - в редакции постановления Правления Агентства РК по регулированию и развитию финансового рынка от 12.12.2025 </w:t>
      </w:r>
      <w:r>
        <w:rPr>
          <w:rFonts w:ascii="Times New Roman"/>
          <w:b w:val="false"/>
          <w:i w:val="false"/>
          <w:color w:val="000000"/>
          <w:sz w:val="28"/>
        </w:rPr>
        <w:t>№ 78</w:t>
      </w:r>
      <w:r>
        <w:rPr>
          <w:rFonts w:ascii="Times New Roman"/>
          <w:b w:val="false"/>
          <w:i w:val="false"/>
          <w:color w:val="ff0000"/>
          <w:sz w:val="28"/>
        </w:rPr>
        <w:t xml:space="preserve"> (вводится в действие по истечении десяти календарных дней после дня его первого официального опубликования).</w:t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</w:t>
      </w:r>
    </w:p>
    <w:bookmarkStart w:name="z7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2. Департаменту методологии и пруденциального регулирования финансовых организаций в установленном законодательством Республики Казахстан порядке обеспечить:</w:t>
      </w:r>
    </w:p>
    <w:bookmarkEnd w:id="2"/>
    <w:bookmarkStart w:name="z8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совместно с Юридическим департаментом государственную регистрацию настоящего постановления в Министерстве юстиции Республики Казахстан;</w:t>
      </w:r>
    </w:p>
    <w:bookmarkEnd w:id="3"/>
    <w:bookmarkStart w:name="z9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размещение настоящего постановления на официальном интернет-ресурсе Агентства Республики Казахстан по регулированию и развитию финансового рынка после его официального опубликования;</w:t>
      </w:r>
    </w:p>
    <w:bookmarkEnd w:id="4"/>
    <w:bookmarkStart w:name="z10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в течение десяти рабочих дней после государственной регистрации настоящего постановления представление в Юридический департамент сведений об исполнении мероприятия, предусмотренного подпунктом 2) настоящего пункта.</w:t>
      </w:r>
    </w:p>
    <w:bookmarkEnd w:id="5"/>
    <w:bookmarkStart w:name="z11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Контроль за исполнением настоящего постановления возложить на курирующего заместителя Председателя Агентства Республики Казахстан по регулированию и развитию финансового рынка.</w:t>
      </w:r>
    </w:p>
    <w:bookmarkEnd w:id="6"/>
    <w:bookmarkStart w:name="z12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Настоящее постановление вводится в действие с 15 ноября 2020 года и подлежит официальному опубликованию.</w:t>
      </w:r>
    </w:p>
    <w:bookmarkEnd w:id="7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Председатель Агентства Республики Казахстан 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по регулированию и развитию финансового рынка 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М. Абылкасымова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both"/>
      </w:pPr>
      <w:bookmarkStart w:name="z14" w:id="8"/>
      <w:r>
        <w:rPr>
          <w:rFonts w:ascii="Times New Roman"/>
          <w:b w:val="false"/>
          <w:i w:val="false"/>
          <w:color w:val="000000"/>
          <w:sz w:val="28"/>
        </w:rPr>
        <w:t>
      "СОГЛАСОВАНО"</w:t>
      </w:r>
    </w:p>
    <w:bookmarkEnd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Министерство финансов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Республики Казахстан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"__" "__________" 2020 года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7780"/>
        <w:gridCol w:w="4600"/>
      </w:tblGrid>
      <w:tr>
        <w:trPr>
          <w:trHeight w:val="30" w:hRule="atLeast"/>
        </w:trPr>
        <w:tc>
          <w:tcPr>
            <w:tcW w:w="778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 </w:t>
            </w:r>
          </w:p>
        </w:tc>
        <w:tc>
          <w:tcPr>
            <w:tcW w:w="460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center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Утверждены постановлением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Правления Агентства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Республики Казахстан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по регулированию и развитию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финансового рынка</w:t>
            </w:r>
            <w:r>
              <w:br/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от 12 октября 2020 года № 98</w:t>
            </w:r>
          </w:p>
        </w:tc>
      </w:tr>
    </w:tbl>
    <w:bookmarkStart w:name="z16" w:id="9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Требования к Правилам внутреннего контроля в целях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для фондовой биржи и организаций, осуществляющих клиринговую деятельность по сделкам с финансовыми инструментами</w:t>
      </w:r>
    </w:p>
    <w:bookmarkEnd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ff0000"/>
          <w:sz w:val="28"/>
        </w:rPr>
        <w:t xml:space="preserve">
      Сноска. Требования - в редакции постановления Правления Агентства РК по регулированию и развитию финансового рынка от 20.04.2026 </w:t>
      </w:r>
      <w:r>
        <w:rPr>
          <w:rFonts w:ascii="Times New Roman"/>
          <w:b w:val="false"/>
          <w:i w:val="false"/>
          <w:color w:val="ff0000"/>
          <w:sz w:val="28"/>
        </w:rPr>
        <w:t>№ 74</w:t>
      </w:r>
      <w:r>
        <w:rPr>
          <w:rFonts w:ascii="Times New Roman"/>
          <w:b w:val="false"/>
          <w:i w:val="false"/>
          <w:color w:val="ff0000"/>
          <w:sz w:val="28"/>
        </w:rPr>
        <w:t xml:space="preserve"> (порядок введения в действие см. </w:t>
      </w:r>
      <w:r>
        <w:rPr>
          <w:rFonts w:ascii="Times New Roman"/>
          <w:b w:val="false"/>
          <w:i w:val="false"/>
          <w:color w:val="ff0000"/>
          <w:sz w:val="28"/>
        </w:rPr>
        <w:t>п. 4</w:t>
      </w:r>
      <w:r>
        <w:rPr>
          <w:rFonts w:ascii="Times New Roman"/>
          <w:b w:val="false"/>
          <w:i w:val="false"/>
          <w:color w:val="ff0000"/>
          <w:sz w:val="28"/>
        </w:rPr>
        <w:t>.).</w:t>
      </w:r>
    </w:p>
    <w:bookmarkStart w:name="z1262" w:id="10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1. Общие положения</w:t>
      </w:r>
    </w:p>
    <w:bookmarkEnd w:id="10"/>
    <w:bookmarkStart w:name="z1083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Настоящие Требования к Правилам внутреннего контроля в целях противодействия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 для фондовой биржи и организаций, осуществляющих клиринговую деятельность по сделкам с финансовыми инструментами (далее – фондовая биржа) (далее – Требования) разработаны в соответствии с абзацем вторым </w:t>
      </w:r>
      <w:r>
        <w:rPr>
          <w:rFonts w:ascii="Times New Roman"/>
          <w:b w:val="false"/>
          <w:i w:val="false"/>
          <w:color w:val="000000"/>
          <w:sz w:val="28"/>
        </w:rPr>
        <w:t>пункта 3-2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11 Закона Республики Казахстан "О противодействии легализации (отмыванию) доходов, полученных преступным путем, финансированию терроризма и финансированию распространения оружия массового уничтожения" (далее – Закон о ПОД/ФТ/ФРОМУ).</w:t>
      </w:r>
    </w:p>
    <w:bookmarkEnd w:id="11"/>
    <w:bookmarkStart w:name="z1084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Понятия, используемые в Требованиях, применяются в значениях, указанных в </w:t>
      </w:r>
      <w:r>
        <w:rPr>
          <w:rFonts w:ascii="Times New Roman"/>
          <w:b w:val="false"/>
          <w:i w:val="false"/>
          <w:color w:val="000000"/>
          <w:sz w:val="28"/>
        </w:rPr>
        <w:t>Законе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ПОД/ФТ/ФРОМУ, </w:t>
      </w:r>
      <w:r>
        <w:rPr>
          <w:rFonts w:ascii="Times New Roman"/>
          <w:b w:val="false"/>
          <w:i w:val="false"/>
          <w:color w:val="000000"/>
          <w:sz w:val="28"/>
        </w:rPr>
        <w:t>Законе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рынке ценных бумаг" (далее – Закон о рынке ценных бумаг) и </w:t>
      </w:r>
      <w:r>
        <w:rPr>
          <w:rFonts w:ascii="Times New Roman"/>
          <w:b w:val="false"/>
          <w:i w:val="false"/>
          <w:color w:val="000000"/>
          <w:sz w:val="28"/>
        </w:rPr>
        <w:t>Законе</w:t>
      </w:r>
      <w:r>
        <w:rPr>
          <w:rFonts w:ascii="Times New Roman"/>
          <w:b w:val="false"/>
          <w:i w:val="false"/>
          <w:color w:val="000000"/>
          <w:sz w:val="28"/>
        </w:rPr>
        <w:t xml:space="preserve"> Республики Казахстан "О цифровых активах в Республике Казахстан".</w:t>
      </w:r>
    </w:p>
    <w:bookmarkEnd w:id="12"/>
    <w:bookmarkStart w:name="z1085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целей Требований используются следующие основные понятия:</w:t>
      </w:r>
    </w:p>
    <w:bookmarkEnd w:id="13"/>
    <w:bookmarkStart w:name="z1086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необычная операция (сделка) – операция (сделка) клиента, подлежащая обязательному изучению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4 Закона о ПОД/ФТ/ФРОМУ с учетом признаков определения подозрительной операции и подозрительной деятельности клиента, подлежащей финансовому мониторингу (далее вместе – подозрительная операция), определенных уполномоченным органом, осуществляющим финансовый мониторинг и принимающим иные меры по противодействию легализации (отмыванию) доходов, полученных преступным путем, финансированию терроризма, финансированию распространения оружия массового уничтожения (далее – уполномоченный орган)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о ПОД/ФТ/ФРОМУ, а также разработанных фондовой биржей самостоятельно, за исключением признаков подозрительной деятельности клиента, подлежащей финансовому мониторингу;</w:t>
      </w:r>
    </w:p>
    <w:bookmarkEnd w:id="14"/>
    <w:bookmarkStart w:name="z1087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клиент – физическое, юридическое лицо или иностранная структура без образования юридического лица, получающие услуги фондовой биржи;</w:t>
      </w:r>
    </w:p>
    <w:bookmarkEnd w:id="15"/>
    <w:bookmarkStart w:name="z1088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риски легализации (отмывания) доходов, полученных преступным путем, финансирования терроризма и финансирования распространения оружия массового уничтожения – риски преднамеренного или непреднамеренного вовлечения фондовой биржи, а также ее членов в процессы легализации (отмывания) доходов, полученных преступным путем, финансирования терроризма и финансирования распространения оружия массового уничтожения;</w:t>
      </w:r>
    </w:p>
    <w:bookmarkEnd w:id="16"/>
    <w:bookmarkStart w:name="z1089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управление рисками легализации (отмывания) доходов, полученных преступным путем, финансирования терроризма и финансирования распространения оружия массового уничтожения (далее – ОД/ФТ/ФРОМУ) – совокупность принимаемых фондовой биржей мер по выявлению, оценке, мониторингу рисков ОД/ФТ/ФРОМУ, а также их минимизации (в отношении продуктов/услуг, клиентов, а также совершаемых клиентами операций);</w:t>
      </w:r>
    </w:p>
    <w:bookmarkEnd w:id="17"/>
    <w:bookmarkStart w:name="z1090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5) пороговая операция – операция клиента с деньгами и (или) иным имуществом, которая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4 Закона о ПОД/ФТ/ФРОМУ подлежит финансовому мониторингу; </w:t>
      </w:r>
    </w:p>
    <w:bookmarkEnd w:id="18"/>
    <w:bookmarkStart w:name="z1091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деловые отношения – отношения с клиентами, возникающие в процессе осуществления фондовыми биржами профессиональной деятельности.</w:t>
      </w:r>
    </w:p>
    <w:bookmarkEnd w:id="19"/>
    <w:bookmarkStart w:name="z1092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3. Внутренний контроль в целях противодействия легализации (отмыванию) доходов, полученных преступным путем, финансированию терроризма и финансирования распространения оружия массового уничтожения (далее – ПОД/ФТ/ФРОМУ) осуществляется фондовой биржей в целях:</w:t>
      </w:r>
    </w:p>
    <w:bookmarkEnd w:id="20"/>
    <w:bookmarkStart w:name="z1093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обеспечения выполнения фондовой биржей требований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ПОД/ФТ/ФРОМУ;</w:t>
      </w:r>
    </w:p>
    <w:bookmarkEnd w:id="21"/>
    <w:bookmarkStart w:name="z1094" w:id="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поддержания эффективности системы внутреннего контроля фондовой биржи на уровне, достаточном для управления рисками ОД/ФТ/ФРОМУ и сопряженными рисками (операционного, репутационного, правового);</w:t>
      </w:r>
    </w:p>
    <w:bookmarkEnd w:id="22"/>
    <w:bookmarkStart w:name="z1095" w:id="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исключения вовлечения фондовой биржи, ее должностных лиц и работников в процессы ОД/ФТ/ФРОМУ.</w:t>
      </w:r>
    </w:p>
    <w:bookmarkEnd w:id="23"/>
    <w:bookmarkStart w:name="z1096" w:id="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4. В рамках организации внутреннего контроля в целях ПОД/ФТ/ФРОМУ органом управления или исполнительным органом фондовой биржи разрабатываются и принимаются правила внутреннего контроля, включающие требования к проведению службой внутреннего аудита фондовой биржи оценки эффективности внутреннего контроля в целях ПОД/ФТ/ФРОМУ.</w:t>
      </w:r>
    </w:p>
    <w:bookmarkEnd w:id="24"/>
    <w:bookmarkStart w:name="z1097" w:id="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Правила внутреннего контроля исполняются фондовой биржей с учетом результатов оценки степени подверженности услуг фондовой биржи рискам ОД/ФТ/ФРОМУ, размера, характера и сложности фондовой биржи.</w:t>
      </w:r>
    </w:p>
    <w:bookmarkEnd w:id="25"/>
    <w:bookmarkStart w:name="z1098" w:id="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Правила внутреннего контроля включают в себя программы, предусмотренные </w:t>
      </w:r>
      <w:r>
        <w:rPr>
          <w:rFonts w:ascii="Times New Roman"/>
          <w:b w:val="false"/>
          <w:i w:val="false"/>
          <w:color w:val="000000"/>
          <w:sz w:val="28"/>
        </w:rPr>
        <w:t>статьей 11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которые разрабатываются фондовой биржей самостоятельно в соответствии с Требованиями и являются внутренним документом фондовой биржи либо совокупностью таких документов, утвержденных органом управления или исполнительным органом фондовой биржи.</w:t>
      </w:r>
    </w:p>
    <w:bookmarkEnd w:id="26"/>
    <w:bookmarkStart w:name="z1099" w:id="2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2. Программа организации внутреннего контроля в целях ПОД/ФТ/ФРОМУ</w:t>
      </w:r>
    </w:p>
    <w:bookmarkEnd w:id="27"/>
    <w:bookmarkStart w:name="z1100" w:id="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5. В порядке, установленном внутренними документами фондовой биржи, на фондовой бирже назначается лицо, ответственное за реализацию и соблюдение правил внутреннего контроля на фондовой бирже (далее – ответственный работник), из числа руководящих работников фондовой биржи или иных руководителей фондовой биржи не ниже уровня руководителя соответствующего структурного подразделения фондовой биржи, которое имеет высшее образование в области экономики, финансов, банковского и страхового дела, бизнеса и управления, права, бухгалтерского дела и налогообложения, стаж работы на должности руководителя подразделения фондовой биржи, связанного с осуществлением биржевых и (или) банковских операций, не менее одного года либо стаж работы в сфере ПОД/ФТ/ФРОМУ не менее двух лет, либо стаж работы в сфере предоставления и (или) регулирования финансовых услуг не менее трех лет и безупречную деловую репутацию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о рынке ценных бумаг, также определяются работники либо подразделение фондовой биржи, в компетенцию которых входят вопросы ПОД/ФТ/ФРОМУ (далее – подразделение по ПОД/ФТ/ФРОМУ).</w:t>
      </w:r>
    </w:p>
    <w:bookmarkEnd w:id="28"/>
    <w:bookmarkStart w:name="z1101" w:id="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6. Программа организации внутреннего контроля в целях ПОД/ФТ/ФРОМУ включает, но не ограничивается:</w:t>
      </w:r>
    </w:p>
    <w:bookmarkEnd w:id="29"/>
    <w:bookmarkStart w:name="z1102" w:id="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порядок фиксирования сведений, а также хранения документов и информации, полученных в ходе реализации внутреннего контроля в целях ПОД/ФТ/ФРОМУ;</w:t>
      </w:r>
    </w:p>
    <w:bookmarkEnd w:id="30"/>
    <w:bookmarkStart w:name="z1103" w:id="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порядок применения мер по замораживанию операций с деньгами и (или) иным имуществом лиц, включенных в перечень лиц и организаций, связанных с финансированием терроризма и экстремизма (далее – Перечень ФТ) и перечень организаций и лиц, связанных с финансированием распространения оружия массового уничтожения (далее – Перечень ФРОМУ);</w:t>
      </w:r>
    </w:p>
    <w:bookmarkEnd w:id="31"/>
    <w:bookmarkStart w:name="z1104" w:id="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порядок проверки клиента (его представителя) и бенефициарного собственника на наличие в Перечне ФТ, составленном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12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 и Перечне ФРОМУ, составленном в соответствии со </w:t>
      </w:r>
      <w:r>
        <w:rPr>
          <w:rFonts w:ascii="Times New Roman"/>
          <w:b w:val="false"/>
          <w:i w:val="false"/>
          <w:color w:val="000000"/>
          <w:sz w:val="28"/>
        </w:rPr>
        <w:t>статьей 12-1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ПОД/ФТ/ФРОМУ;</w:t>
      </w:r>
    </w:p>
    <w:bookmarkEnd w:id="32"/>
    <w:bookmarkStart w:name="z1105" w:id="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порядок прекращения мер по замораживанию операций с деньгами и (или) иным имуществом лиц, включенных в Перечень ФТ и Перечень ФРОМУ при исключении клиента (его представителя) и бенефициарного собственника из Перечня ФТ и Перечня ФРОМУ;</w:t>
      </w:r>
    </w:p>
    <w:bookmarkEnd w:id="33"/>
    <w:bookmarkStart w:name="z1106" w:id="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5) порядок информирования работниками фондовой биржи, в том числе ответственным работником, органа управления и (или) исполнительного органа фондовой биржи о ставших им известными фактах нарушения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ПОД/ФТ/ФРОМУ, а также правил внутреннего контроля, допущенных работниками фондовой биржи;</w:t>
      </w:r>
    </w:p>
    <w:bookmarkEnd w:id="34"/>
    <w:bookmarkStart w:name="z1107" w:id="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порядок подготовки и представления органу управления и (или) исполнительному органу фондовой биржи управленческой отчетности по результатам оценки эффективности внутреннего контроля в целях ПОД/ФТ/ФРОМУ службой внутреннего аудита фондовой биржи;</w:t>
      </w:r>
    </w:p>
    <w:bookmarkEnd w:id="35"/>
    <w:bookmarkStart w:name="z1108" w:id="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процедуру оценки, определения, документального фиксирования и обновления результатов оценки рисков ОД/ФТ/ФРОМУ.</w:t>
      </w:r>
    </w:p>
    <w:bookmarkEnd w:id="36"/>
    <w:bookmarkStart w:name="z1109" w:id="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7. Функции ответственного работника и подразделения по ПОД/ФТ/ФРОМУ в соответствии с программой организации внутреннего контроля в целях ПОД/ФТ/ФРОМУ включают, но не ограничиваются:</w:t>
      </w:r>
    </w:p>
    <w:bookmarkEnd w:id="37"/>
    <w:bookmarkStart w:name="z1110" w:id="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обеспечение наличия разработанных и согласованных с исполнительным органом фондовой биржи правил внутреннего контроля и (или) изменений (дополнений) к ним, а также мониторинга за их соблюдением на фондовой бирже;</w:t>
      </w:r>
    </w:p>
    <w:bookmarkEnd w:id="38"/>
    <w:bookmarkStart w:name="z1111" w:id="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2) организацию представления и контроль за представлением сообщений в уполномоченный орган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ПОД/ФТ/ФРОМУ;</w:t>
      </w:r>
    </w:p>
    <w:bookmarkEnd w:id="39"/>
    <w:bookmarkStart w:name="z1112" w:id="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информирование органа управления и (или) исполнительного органа фондовой биржи о выявленных клиентах и принятых мерах по применению целевых финансовых санкций;</w:t>
      </w:r>
    </w:p>
    <w:bookmarkEnd w:id="40"/>
    <w:bookmarkStart w:name="z1113" w:id="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принятие решений о признании операций клиентов в качестве подозрительных и необходимости направления сообщений в уполномоченный орган в порядке, предусмотренном внутренними документами фондовой биржи;</w:t>
      </w:r>
    </w:p>
    <w:bookmarkEnd w:id="41"/>
    <w:bookmarkStart w:name="z1114" w:id="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5) принятие решений о приостановлении либо отказе от проведения операций клиентов в случаях, предусмотренных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 и (или) договорами с клиентами, и в порядке, предусмотренном внутренними документами фондовой биржи;</w:t>
      </w:r>
    </w:p>
    <w:bookmarkEnd w:id="42"/>
    <w:bookmarkStart w:name="z1115" w:id="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направление запросов органу управления и (или) исполнительному органу фондовой биржи для принятия решения об установлении, продолжении либо прекращении деловых отношений с клиентами в случаях и порядке, предусмотренных Законом о ПОД/ФТ/ФРОМУ и внутренними документами фондовой биржи;</w:t>
      </w:r>
    </w:p>
    <w:bookmarkEnd w:id="43"/>
    <w:bookmarkStart w:name="z1116" w:id="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информирование органа управления и (или) исполнительного органа фондовой биржи о выявленных нарушениях правил внутреннего контроля в порядке, предусмотренном внутренними документами фондовой биржи;</w:t>
      </w:r>
    </w:p>
    <w:bookmarkEnd w:id="44"/>
    <w:bookmarkStart w:name="z1117" w:id="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подготовку информации о результатах реализации правил внутреннего контроля и рекомендуемых мерах по улучшению систем управления рисками ОД/ФТ/ФРОМУ и внутреннего контроля в целях ПОД/ФТ/ФРОМУ для формирования отчетов органу управления и (или) исполнительному органу фондовой биржи.</w:t>
      </w:r>
    </w:p>
    <w:bookmarkEnd w:id="45"/>
    <w:bookmarkStart w:name="z1118" w:id="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8. Для выполнения возложенных функций ответственный работник наделяется следующими полномочиями, включая, но не ограничиваясь:</w:t>
      </w:r>
    </w:p>
    <w:bookmarkEnd w:id="46"/>
    <w:bookmarkStart w:name="z1119" w:id="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получение доступа ко всем помещениям фондовой биржи, цифровым системам, средствам телекоммуникаций, документам и файлам в пределах, позволяющих осуществлять свои функции в полном объеме, и в порядке, предусмотренном внутренними документами фондовой биржи;</w:t>
      </w:r>
    </w:p>
    <w:bookmarkEnd w:id="47"/>
    <w:bookmarkStart w:name="z1120" w:id="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обеспечение конфиденциальности информации, полученной при осуществлении своих функций;</w:t>
      </w:r>
    </w:p>
    <w:bookmarkEnd w:id="48"/>
    <w:bookmarkStart w:name="z1121" w:id="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обеспечение сохранности получаемых от подразделений фондовой биржи документов и файлов.</w:t>
      </w:r>
    </w:p>
    <w:bookmarkEnd w:id="49"/>
    <w:bookmarkStart w:name="z1122" w:id="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9. Функции ответственного работника не совмещаются с функциями, осуществляемыми службой внутреннего аудита, а также функциями подразделений фондовой биржи, связанных с осуществлением биржевых и (или) банковских операций.</w:t>
      </w:r>
    </w:p>
    <w:bookmarkEnd w:id="50"/>
    <w:bookmarkStart w:name="z1123" w:id="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10. Фондовая биржа для автоматизации процессов по вопросам внутреннего контроля в целях ПОД/ФТ/ФРОМУ использует автоматизированные цифровые системы, соответствующие требованиям, правил внутреннего контроля фондовой биржи.</w:t>
      </w:r>
    </w:p>
    <w:bookmarkEnd w:id="51"/>
    <w:bookmarkStart w:name="z1124" w:id="52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3. Программа управления рисками ОД/ФТ/ФРОМУ</w:t>
      </w:r>
    </w:p>
    <w:bookmarkEnd w:id="52"/>
    <w:bookmarkStart w:name="z1125" w:id="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11. В целях организации управления рисками ОД/ФТ/ФРОМУ фондовая биржа разрабатывает программу управления рисками ОД/ФТ/ФРОМУ.</w:t>
      </w:r>
    </w:p>
    <w:bookmarkEnd w:id="53"/>
    <w:bookmarkStart w:name="z1126" w:id="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Результаты оценки рисков предоставляются по требованию уполномоченного органа по регулированию, контролю и надзору финансового рынка и финансовых организаций, в соответствии с частью первой </w:t>
      </w:r>
      <w:r>
        <w:rPr>
          <w:rFonts w:ascii="Times New Roman"/>
          <w:b w:val="false"/>
          <w:i w:val="false"/>
          <w:color w:val="000000"/>
          <w:sz w:val="28"/>
        </w:rPr>
        <w:t>статьи 14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Республики Казахстан "О государственном регулировании, контроле и надзоре финансового рынка и финансовых организаций".</w:t>
      </w:r>
    </w:p>
    <w:bookmarkEnd w:id="54"/>
    <w:bookmarkStart w:name="z1127" w:id="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12. При реализации программы управления рисками ОД/ФТ/ФРОМУ фондовая биржа учитывает опубликованную информацию из отчета по национальной оценке рисков легализации (отмыванию) доходов, финансирования терроризма и финансированию распространения оружия массового уничтожения в соответствии с пунктом 7 </w:t>
      </w:r>
      <w:r>
        <w:rPr>
          <w:rFonts w:ascii="Times New Roman"/>
          <w:b w:val="false"/>
          <w:i w:val="false"/>
          <w:color w:val="000000"/>
          <w:sz w:val="28"/>
        </w:rPr>
        <w:t>статьи 11-1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ПОД/ФТ/ФРОМУ.</w:t>
      </w:r>
    </w:p>
    <w:bookmarkEnd w:id="55"/>
    <w:bookmarkStart w:name="z1128" w:id="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13. Фондовая биржа на ежегодной основе осуществляет оценку степени подверженности услуг фондовой биржи рискам ОД/ФТ/ФРОМУ с учетом, как минимум, следующих специфических категорий рисков: риск по типу клиентов, страновой (географический) риск, риск услуги и (или) способа ее предоставления.</w:t>
      </w:r>
    </w:p>
    <w:bookmarkEnd w:id="56"/>
    <w:bookmarkStart w:name="z1129" w:id="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Оценка степени подверженности услуг фондовой биржи рискам ОД/ФТ/ФРОМУ сопровождается описанием возможных мероприятий, направленных на минимизацию выявленных рисков, включая изменение процедур идентификации и мониторинга операций клиентов, установление лимитов на проведение тех или иных операций, изменение условий предоставления услуг, отказ от предоставления услуг.</w:t>
      </w:r>
    </w:p>
    <w:bookmarkEnd w:id="57"/>
    <w:bookmarkStart w:name="z1130" w:id="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14. Типы клиентов, чей статус и (или) чья деятельность повышают риск ОД/ФТ/ФРОМУ, включают, но не ограничиваются:</w:t>
      </w:r>
    </w:p>
    <w:bookmarkEnd w:id="58"/>
    <w:bookmarkStart w:name="z1131" w:id="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иностранные финансовые организации;</w:t>
      </w:r>
    </w:p>
    <w:bookmarkEnd w:id="59"/>
    <w:bookmarkStart w:name="z1132" w:id="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лица, расположенные (зарегистрированные) в иностранных государствах, указанных в пункте 16 Требований, а также расположенные в Республике Казахстан филиалы и представительства таких лиц;</w:t>
      </w:r>
    </w:p>
    <w:bookmarkEnd w:id="60"/>
    <w:bookmarkStart w:name="z1133" w:id="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лица, осуществляющие выпуск и оборот необеспеченных цифровых активов на территории Международного финансового центра "Астана".</w:t>
      </w:r>
    </w:p>
    <w:bookmarkEnd w:id="61"/>
    <w:bookmarkStart w:name="z1134" w:id="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15. Типы клиентов, чей статус и (или) чья деятельность понижают риск ОД/ФТ/ФРОМУ, включают, но не ограничиваются:</w:t>
      </w:r>
    </w:p>
    <w:bookmarkEnd w:id="62"/>
    <w:bookmarkStart w:name="z1135" w:id="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государственные органы Республики Казахстан, включая Национальный Банк Республики Казахстан, уполномоченный орган по регулированию, контролю и надзору финансового рынка и финансовых организаций, а также юридические лица, контроль над которыми осуществляется государственными органами, а также юридические лица, контроль над которыми осуществляется государственными органами;</w:t>
      </w:r>
    </w:p>
    <w:bookmarkEnd w:id="63"/>
    <w:bookmarkStart w:name="z1136" w:id="6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юридические лица, созданные в организационно-правовой форме государственных учреждений или государственных предприятий, а также национальным управляющим холдингом либо юридическими лицами, сто процентов голосующих акций (долей участия) которых принадлежат национальному управляющему холдингу;</w:t>
      </w:r>
    </w:p>
    <w:bookmarkEnd w:id="64"/>
    <w:bookmarkStart w:name="z1137" w:id="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банки второго уровня, страховые (перестраховочные) организации – резиденты Республики Казахстан, профессиональные участники рынка ценных бумаг - резиденты Республики Казахстан, а также организации, акции, которых включены в официальный список фондовой биржи иностранного государства, провайдеры услуг цифровых активов, регулируемые Национальным Банком Республики Казахстан (операторы обмена необеспеченных цифровых активов, операторы платформы цифровых финансовых активов, операторы торговой платформы цифровых активов) и участники особого режима регулирования Национального Банка Республики Казахстан, осуществляющие деятельность в сфере цифровых активов и эмитенты цифровых финансовых активов;</w:t>
      </w:r>
    </w:p>
    <w:bookmarkEnd w:id="65"/>
    <w:bookmarkStart w:name="z1138" w:id="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международные организации, расположенные на территории Республики Казахстан, либо участником которых является Республика Казахстан.</w:t>
      </w:r>
    </w:p>
    <w:bookmarkEnd w:id="66"/>
    <w:bookmarkStart w:name="z1139" w:id="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16. Фондовая биржа осуществляет оценку странового (географического) риска, связанного с предоставлением услуг клиентам из иностранных государств, указанных в настоящем пункте, осуществлением операций с деньгами и (или) иным имуществом с участием таких иностранных государств.</w:t>
      </w:r>
    </w:p>
    <w:bookmarkEnd w:id="67"/>
    <w:bookmarkStart w:name="z1140" w:id="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Иностранными государствами, операции с которыми повышают риск ОД/ФТ/ФРОМУ, являются:</w:t>
      </w:r>
    </w:p>
    <w:bookmarkEnd w:id="68"/>
    <w:bookmarkStart w:name="z1141" w:id="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иностранные государства (территории), включенные в перечень государств (территорий), не выполняющих либо недостаточно выполняющих рекомендации Группы разработки финансовых мер борьбы с отмыванием денег (ФАТФ), составляемый уполномоченным органом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4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4 Закона о ПОД/ФТ/ФРОМУ;</w:t>
      </w:r>
    </w:p>
    <w:bookmarkEnd w:id="69"/>
    <w:bookmarkStart w:name="z1142" w:id="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иностранные государства (территории), в отношении которых применяются международные санкции (эмбарго), принятые резолюциями Совета Безопасности Организации Объединенных Наций;</w:t>
      </w:r>
    </w:p>
    <w:bookmarkEnd w:id="70"/>
    <w:bookmarkStart w:name="z1143" w:id="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3) иностранные государства (территории), включенные в перечень офшорных зон,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постановлением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Правления Агентства Республики Казахстан по регулированию и развитию финансового рынка от 20 марта 2026 года № 15 "Об установлении Перечня офшорных зон для целей банковской и страховой деятельности, деятельности профессиональных участников рынка ценных бумаг и иных лицензируемых видов деятельности на рынке ценных бумаг, деятельности акционерных инвестиционных фондов и деятельности организаций, осуществляющих микрофинансовую деятельность";</w:t>
      </w:r>
    </w:p>
    <w:bookmarkEnd w:id="71"/>
    <w:bookmarkStart w:name="z1144" w:id="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иностранные государства (территории), определенные фондовой биржей в качестве представляющих высокий риск ОД/ФТ/ФРОМУ на основе других факторов (сведения об уровне коррупции, незаконного производства, оборота и (или) транзита наркотиков, сведения о поддержке международного терроризма и другое).</w:t>
      </w:r>
    </w:p>
    <w:bookmarkEnd w:id="72"/>
    <w:bookmarkStart w:name="z1145" w:id="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17. Услуги фондовой биржи, а также способы их предоставления, повышающие уровень риска ОД/ФТ/ФРОМУ, включают, но не ограничиваются:</w:t>
      </w:r>
    </w:p>
    <w:bookmarkEnd w:id="73"/>
    <w:bookmarkStart w:name="z1146" w:id="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дистанционное обслуживание клиентов, включая обслуживание посредством персональных компьютеров, телефонов, электронных терминалов;</w:t>
      </w:r>
    </w:p>
    <w:bookmarkEnd w:id="74"/>
    <w:bookmarkStart w:name="z1147" w:id="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открытие банковских счетов иностранным финансовым организациям;</w:t>
      </w:r>
    </w:p>
    <w:bookmarkEnd w:id="75"/>
    <w:bookmarkStart w:name="z1148" w:id="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новые продукты и деловые практики, включающие механизмы передачи информации с использованием новых и развивающихся технологий как для существующих, так и для внедряемых продуктов.</w:t>
      </w:r>
    </w:p>
    <w:bookmarkEnd w:id="76"/>
    <w:bookmarkStart w:name="z1149" w:id="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18. При оценке степени подверженности услуг фондовой биржи рискам ОД/ФТ/ФРОМУ в соответствии с факторами рисков, указанными в пунктах 14, 15, 16 и 17 Требований, фондовой биржей учитываются дополнительные сведения, включая, но не ограничиваясь:</w:t>
      </w:r>
    </w:p>
    <w:bookmarkEnd w:id="77"/>
    <w:bookmarkStart w:name="z1150" w:id="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количество направленных фондовой биржей в уполномоченный орган сообщений о подозрительных операциях клиентов;</w:t>
      </w:r>
    </w:p>
    <w:bookmarkEnd w:id="78"/>
    <w:bookmarkStart w:name="z1151" w:id="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количество направленных фондовой биржей в уполномоченный орган сообщений о пороговых операциях клиентов.</w:t>
      </w:r>
    </w:p>
    <w:bookmarkEnd w:id="79"/>
    <w:bookmarkStart w:name="z1152" w:id="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19. В рамках реализации программы управления рисками ОД/ФТ/ФРОМУ фондовой биржей принимаются меры по классификации клиентов с учетом категорий и факторов рисков, указанных в пунктах 14, 15, 16 и 17 Требований, а также иных категорий и факторов рисков, устанавливаемых фондовой биржей.</w:t>
      </w:r>
    </w:p>
    <w:bookmarkEnd w:id="80"/>
    <w:bookmarkStart w:name="z1153" w:id="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Уровень риска клиента (группы клиентов) устанавливается фондовой биржей по результатам анализа имеющихся у фондовой биржи сведений и информации о клиенте (клиентах) и оценивается по шкале определения уровня риска, разработанной фондовой биржей, которая состоит не менее чем из двух уровней.</w:t>
      </w:r>
    </w:p>
    <w:bookmarkEnd w:id="81"/>
    <w:bookmarkStart w:name="z1154" w:id="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Пересмотр уровня риска клиента (группы клиентов) осуществляется фондовой биржей по мере обновления сведений о клиенте (группе клиентов).</w:t>
      </w:r>
    </w:p>
    <w:bookmarkEnd w:id="82"/>
    <w:bookmarkStart w:name="z1155" w:id="83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4. Программа идентификации клиентов (их представителей) и бенефициарных собственников</w:t>
      </w:r>
    </w:p>
    <w:bookmarkEnd w:id="83"/>
    <w:bookmarkStart w:name="z1156" w:id="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20. В целях реализации требований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 по надлежащей проверке клиента (его представителя) и бенефициарного собственника фондовая биржа разрабатывает программу идентификации клиентов (их представителей) и бенефициарных собственников.</w:t>
      </w:r>
    </w:p>
    <w:bookmarkEnd w:id="84"/>
    <w:bookmarkStart w:name="z1157" w:id="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Идентификация клиента (его представителя) и бенефициарного собственника заключается в проведении фондовой биржей мероприятий по фиксированию и проверке достоверности сведений о клиенте (его представителе), выявлению бенефициарного собственника и фиксированию сведений о нем, установлению и фиксированию предполагаемой цели деловых отношений, а также получению и фиксированию иных предусмотренных Требованиями сведений о клиенте (его представителе) и бенефициарном собственнике.</w:t>
      </w:r>
    </w:p>
    <w:bookmarkEnd w:id="85"/>
    <w:bookmarkStart w:name="z1158" w:id="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Идентификация и надлежащая проверка клиента (его представителя) и бенефициарного собственника осуществляется фондовой биржой на основе информации и (или) документов, предоставляемых клиентом (его представителем) либо полученных из иных источников, в том числе по итогам проверки в скоринговом модуле.</w:t>
      </w:r>
    </w:p>
    <w:bookmarkEnd w:id="86"/>
    <w:bookmarkStart w:name="z1159" w:id="8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Для выявления бенефициарного собственника, сведения, представленные клиентом (его представителем) и бенефициарным собственником, сверяются со сведениями, отраженными в реестре бенефициарных собственников юридических лиц (далее – Реестр). При отсутствии в Реестре сведений по таким лицам, представленные сведения сверяются со сведениями, полученными из других источников.</w:t>
      </w:r>
    </w:p>
    <w:bookmarkEnd w:id="87"/>
    <w:bookmarkStart w:name="z1160" w:id="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наличии оснований для сомнения, является ли физическое лицо, которому прямо или косвенно принадлежат более двадцати пяти процентов долей участия в уставном капитале либо размещенных (за вычетом привилегированных и выкупленных обществом) акций клиента-юридического лица, иностранной структуры без образования юридического лица, бенефициарным собственником, допускается признание бенефициарным собственником физического лица, осуществляющего контроль над клиентом-юридическим лицом, иностранной структурой без образования юридического лица иным образом, либо в интересах которого клиентом-юридическим лицом, иностранной структурой без образования юридического лица совершаются операции с деньгами и (или) иным имуществом.</w:t>
      </w:r>
    </w:p>
    <w:bookmarkEnd w:id="88"/>
    <w:bookmarkStart w:name="z1161" w:id="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Если в результате принятия мер по надлежащей проверке, бенефициарный собственник клиента-юридического лица, иностранной структуры без образования юридического лица не выявлен, допускается признание бенефициарным собственником единоличного исполнительного органа либо руководителя коллегиального исполнительного органа клиента-юридического лица, иностранной структуры без образования юридического лица.</w:t>
      </w:r>
    </w:p>
    <w:bookmarkEnd w:id="89"/>
    <w:bookmarkStart w:name="z1162" w:id="9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Фондовая биржа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7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о ПОД/ФТ/ФРОМУ, в отношении клиента, которому присвоен высокий уровень риска, применяет усиленные меры надлежащей проверки клиентов либо применяет упрощенные меры надлежащей проверки клиентов, в отношении которых присвоен низкий уровень риска.</w:t>
      </w:r>
    </w:p>
    <w:bookmarkEnd w:id="90"/>
    <w:bookmarkStart w:name="z1163" w:id="9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Фондовая биржа определяет и оценивает риски ОД/ФТ/ФРОМУ, которые могут возникнуть в связи с:</w:t>
      </w:r>
    </w:p>
    <w:bookmarkEnd w:id="91"/>
    <w:bookmarkStart w:name="z1164" w:id="9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разработкой новых продуктов и новой деловой практикой, включая новые механизмы передачи;</w:t>
      </w:r>
    </w:p>
    <w:bookmarkEnd w:id="92"/>
    <w:bookmarkStart w:name="z1165" w:id="9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использованием новых или развивающихся технологий как для новых, так и для уже существующих продуктов.</w:t>
      </w:r>
    </w:p>
    <w:bookmarkEnd w:id="93"/>
    <w:bookmarkStart w:name="z1166" w:id="9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Оценка рисков ОД/ФТ/ФРОМУ проводится до запуска новых продуктов, деловой практики или использования новых, или развивающихся технологий.</w:t>
      </w:r>
    </w:p>
    <w:bookmarkEnd w:id="94"/>
    <w:bookmarkStart w:name="z1167" w:id="9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21. С учетом требований </w:t>
      </w:r>
      <w:r>
        <w:rPr>
          <w:rFonts w:ascii="Times New Roman"/>
          <w:b w:val="false"/>
          <w:i w:val="false"/>
          <w:color w:val="000000"/>
          <w:sz w:val="28"/>
        </w:rPr>
        <w:t>статьи 6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 фондовая биржа проводит идентификацию клиента (его представителя) и бенефициарного собственника до установления деловых отношений. </w:t>
      </w:r>
    </w:p>
    <w:bookmarkEnd w:id="95"/>
    <w:bookmarkStart w:name="z1168" w:id="9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22. С учетом требований пунктов 2 и 3-1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и </w:t>
      </w:r>
      <w:r>
        <w:rPr>
          <w:rFonts w:ascii="Times New Roman"/>
          <w:b w:val="false"/>
          <w:i w:val="false"/>
          <w:color w:val="000000"/>
          <w:sz w:val="28"/>
        </w:rPr>
        <w:t>пункта 1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7 Закона о ПОД/ФТ/ФРОМУ фондовая биржа проводит идентификацию клиента (его представителя) и бенефициарного собственника, проверку деловых отношений и изучение операций, включая при необходимости получение и фиксирование сведений об источнике финансирования совершаемых операций, с учетом уровня риска клиента, а также проводит проверку достоверности полученных сведений о клиенте (его представителя) и бенефициарном собственнике и устанавливает предполагаемую цель деловых отношений в случаях:</w:t>
      </w:r>
    </w:p>
    <w:bookmarkEnd w:id="96"/>
    <w:bookmarkStart w:name="z1169" w:id="9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совершения клиентом пороговой операции (сделки);</w:t>
      </w:r>
    </w:p>
    <w:bookmarkEnd w:id="97"/>
    <w:bookmarkStart w:name="z1170" w:id="9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совершения (попытки совершения) клиентом подозрительной операции (сделки);</w:t>
      </w:r>
    </w:p>
    <w:bookmarkEnd w:id="98"/>
    <w:bookmarkStart w:name="z1171" w:id="9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совершения клиентом операции (сделки), имеющей характеристики, соответствующие типологиям, схемам и способам ОД/ФТ/ФРОМУ;</w:t>
      </w:r>
    </w:p>
    <w:bookmarkEnd w:id="99"/>
    <w:bookmarkStart w:name="z1172" w:id="10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совершения клиентом необычной операции (сделки);</w:t>
      </w:r>
    </w:p>
    <w:bookmarkEnd w:id="100"/>
    <w:bookmarkStart w:name="z1173" w:id="10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наличия оснований для сомнения в достоверности ранее полученных данных о клиенте (его представителе) и бенефициарном собственнике.</w:t>
      </w:r>
    </w:p>
    <w:bookmarkEnd w:id="101"/>
    <w:bookmarkStart w:name="z1174" w:id="10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совершении клиентом операции в рамках установленных деловых отношений, идентификация клиента (его представителя) и бенефициарного собственника не проводится, если она проводилась при установлении таких деловых отношений, за исключением случаев, предусмотренных подпунктами 2), 3), 4) и 5) части первой настоящего пункта, а также необходимости обновления ранее полученных либо получения дополнительных сведений в соответствии с уровнем риска клиента и Требованиями.</w:t>
      </w:r>
    </w:p>
    <w:bookmarkEnd w:id="102"/>
    <w:bookmarkStart w:name="z1175" w:id="10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Проверка достоверности представленных сведений осуществляется путем сверки с данными оригиналов или нотариально удостоверенных копий соответствующих документов, представленных клиентом (его представителем), сверки с данными из доступных источников (баз данных), проверки сведений другими способами.</w:t>
      </w:r>
    </w:p>
    <w:bookmarkEnd w:id="103"/>
    <w:bookmarkStart w:name="z1176" w:id="10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При наличии основания для сомнения в достоверности ранее полученных сведений о клиенте (его представителе) и бенефициарном собственнике обновление сведений о клиенте (его представителе) и бенефициарном собственнике осуществляется в течение 15 (пятнадцати) рабочих дней, следующих за днем принятия фондовой биржей решения о наличии такого сомнения.</w:t>
      </w:r>
    </w:p>
    <w:bookmarkEnd w:id="104"/>
    <w:bookmarkStart w:name="z1177" w:id="10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23. Сведения, полученные в соответствии с пунктами 21 и 22 Требований, вносятся фондовой биржей в досье клиента, которое хранится в фондовой бирже на протяжении всего периода деловых отношений с клиентом и не менее 5 (пяти) лет со дня их прекращения.</w:t>
      </w:r>
    </w:p>
    <w:bookmarkEnd w:id="105"/>
    <w:bookmarkStart w:name="z1178" w:id="10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Группы клиентов, по которым фондовой биржей в соответствии с внутренними документами ведутся досье, включают, но не ограничиваются:</w:t>
      </w:r>
    </w:p>
    <w:bookmarkEnd w:id="106"/>
    <w:bookmarkStart w:name="z1179" w:id="10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иностранные структуры без образования юридического лица;</w:t>
      </w:r>
    </w:p>
    <w:bookmarkEnd w:id="107"/>
    <w:bookmarkStart w:name="z1180" w:id="10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юридические лица.</w:t>
      </w:r>
    </w:p>
    <w:bookmarkEnd w:id="108"/>
    <w:bookmarkStart w:name="z1181" w:id="10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При применении фондовой биржей подпункта 1) пункта 6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 фондовая биржа незамедлительно получает сведения о клиенте от других субъектов финансового мониторинга, на меры надлежащей проверки клиентов которых полагается фондовая биржа, для внесения (включения) в досье клиента, а также по запросу без задержки получает копии подтверждающих документов, к которым, в том числе относятся информация, выписки из цифровых систем или баз данных других субъектов финансового мониторинга.</w:t>
      </w:r>
    </w:p>
    <w:bookmarkEnd w:id="109"/>
    <w:bookmarkStart w:name="z1182" w:id="1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Фондовая биржа, которая полагается на меры надлежащей проверки клиентов (их представителей) и бенефициарных собственников, принятые иностранной финансовой организацией, устанавливает, что деятельность такой иностранной финансовой организации подлежит лицензированию, регулированию и надзору в государстве, в котором она зарегистрирована, и что иностранная финансовая организация принимают меры по надлежащей проверке, аналогичные требованиям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а также хранит документы и сведения, полученные по результатам надлежащей проверки, не менее 5 (пяти) лет со дня прекращения деловых отношений с клиентом (его представителем) и бенефициарным собственником.</w:t>
      </w:r>
    </w:p>
    <w:bookmarkEnd w:id="110"/>
    <w:bookmarkStart w:name="z1183" w:id="1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Фондовая биржа, являющаяся участником финансовой группы, при необходимости полагается на меры надлежащей проверки клиентов (их представителей) и бенефициарных собственников, предусмотренные подпунктами 1), 2), 2-1, 2-2), 4) и 6 ) пункта 3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принятые в отношении соответствующих клиентов (их представителей) и бенефициарных собственников другими участниками такого финансовой группы, при соблюдении условий, установленных пунктом 6-1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ПОД/ФТ/ФРОМУ.</w:t>
      </w:r>
    </w:p>
    <w:bookmarkEnd w:id="111"/>
    <w:bookmarkStart w:name="z1184" w:id="1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24. При осуществлении клиентом перевода денег либо поступлении в его пользу безналичного платежа или перевода денег фондовой биржей контролируется наличие в платежном документе сведений о клиенте, предусмотренных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7 Закона о ПОД/ФТ/ФРОМУ, а также передача их финансовой организации-участнику платежа (перевода) денег.</w:t>
      </w:r>
    </w:p>
    <w:bookmarkEnd w:id="112"/>
    <w:bookmarkStart w:name="z1185" w:id="1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25. В процессе идентификации клиента (его представителя) и бенефициарного собственника фондовой биржей проводится проверка на наличие такого клиента (его представителя) и бенефициарного собственника в Перечне ФТ и Перечне ФРОМУ.</w:t>
      </w:r>
    </w:p>
    <w:bookmarkEnd w:id="113"/>
    <w:bookmarkStart w:name="z1186" w:id="1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Проверка наличия клиента (его представителя) и бенефициарного собственника в Перечне ФТ и Перечне ФРОМУ (включения в Перечень ФТ и Перечень ФРОМУ) не зависит от уровня риска клиента и осуществляется по мере внесения изменений в Перечень ФТ и Перечень ФРОМУ (обновления Перечня ФТ и Перечня ФРОМУ). Фондовой биржей в процессе идентификации клиента (его представителя) и выявления бенефициарного собственника проводится проверка на принадлежность такого клиента (его представителя) и бенефициарного собственника к публичным должностным лицам, их супругам и близким родственникам.</w:t>
      </w:r>
    </w:p>
    <w:bookmarkEnd w:id="114"/>
    <w:bookmarkStart w:name="z1187" w:id="1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Фондовая биржа в отношении публичных должностных лиц, указанных в абзацах шестом, седьмом и восьмом </w:t>
      </w:r>
      <w:r>
        <w:rPr>
          <w:rFonts w:ascii="Times New Roman"/>
          <w:b w:val="false"/>
          <w:i w:val="false"/>
          <w:color w:val="000000"/>
          <w:sz w:val="28"/>
        </w:rPr>
        <w:t>подпункта 3-3)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 Закона о ПОД/ФТ/ФРОМУ, их супругов и близких родственников:</w:t>
      </w:r>
    </w:p>
    <w:bookmarkEnd w:id="115"/>
    <w:bookmarkStart w:name="z1188" w:id="1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осуществляет оценку репутации публичного должностного лица в отношении причастности его к случаям ОД/ФТ/ФРОМУ;</w:t>
      </w:r>
    </w:p>
    <w:bookmarkEnd w:id="116"/>
    <w:bookmarkStart w:name="z1189" w:id="1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получает письменное разрешение руководящего работника организации на установление, продолжение деловых отношений с такими клиентами (их представителями) и бенефициарными собственниками;</w:t>
      </w:r>
    </w:p>
    <w:bookmarkEnd w:id="117"/>
    <w:bookmarkStart w:name="z1190" w:id="1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предпринимает доступные меры для установления источника средств клиента (его представителя) и бенефициарного собственника;</w:t>
      </w:r>
    </w:p>
    <w:bookmarkEnd w:id="118"/>
    <w:bookmarkStart w:name="z1191" w:id="1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предпринимает на постоянной основе усиленные меры надлежащей проверки клиентов (их представителей) и бенефициарных собственников.</w:t>
      </w:r>
    </w:p>
    <w:bookmarkEnd w:id="119"/>
    <w:bookmarkStart w:name="z1192" w:id="1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отношении публичных должностных лиц, указанных в абзацах втором, третьем, четвертом и пятом </w:t>
      </w:r>
      <w:r>
        <w:rPr>
          <w:rFonts w:ascii="Times New Roman"/>
          <w:b w:val="false"/>
          <w:i w:val="false"/>
          <w:color w:val="000000"/>
          <w:sz w:val="28"/>
        </w:rPr>
        <w:t>подпункта 3-3)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 Закона о ПОД/ФТ/ФРОМУ, их супругов и близких родственников, которым присвоен высокий уровень риска, фондовая биржа, помимо мер, предусмотренных </w:t>
      </w:r>
      <w:r>
        <w:rPr>
          <w:rFonts w:ascii="Times New Roman"/>
          <w:b w:val="false"/>
          <w:i w:val="false"/>
          <w:color w:val="000000"/>
          <w:sz w:val="28"/>
        </w:rPr>
        <w:t>пунктом 3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о ПОД/ФТ/ФРОМУ, дополнительно применяет меры, установленные подпунктами 1), 2), 3) и 4) части третей настоящего пункта.</w:t>
      </w:r>
    </w:p>
    <w:bookmarkEnd w:id="120"/>
    <w:bookmarkStart w:name="z1193" w:id="1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Фондовая биржа при идентификации руководителя (учредителей (участников), иного лица, уполномоченного в соответствии с учредительными документами действовать от имени клиента-юридического лица или клиента-иностранную структуру без образования юридического лица), лица, имеющего право подписи на финансовых документах и бенефициарного собственника, устанавливает и фиксирует следующие данные:</w:t>
      </w:r>
    </w:p>
    <w:bookmarkEnd w:id="121"/>
    <w:bookmarkStart w:name="z1194" w:id="12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фамилия, имя, отчество (при его наличии);</w:t>
      </w:r>
    </w:p>
    <w:bookmarkEnd w:id="122"/>
    <w:bookmarkStart w:name="z1195" w:id="12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гражданство; дата и место рождения;</w:t>
      </w:r>
    </w:p>
    <w:bookmarkEnd w:id="123"/>
    <w:bookmarkStart w:name="z1196" w:id="12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юридический адрес (для учредителей (участников), бенефициарных собственников иностранной структуры без образования юридического лица (при наличии) адрес места жительства (места нахождения);</w:t>
      </w:r>
    </w:p>
    <w:bookmarkEnd w:id="124"/>
    <w:bookmarkStart w:name="z1197" w:id="12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реквизиты документа, удостоверяющего личность, и (или) иного документа, на основании которого проводится идентификация;</w:t>
      </w:r>
    </w:p>
    <w:bookmarkEnd w:id="125"/>
    <w:bookmarkStart w:name="z1198" w:id="12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индивидуальный идентификационный номер (за исключением случаев, когда физическому лицу не присвоен индивидуальный идентификационный номер в соответствии с законодательством Республики Казахстан).</w:t>
      </w:r>
    </w:p>
    <w:bookmarkEnd w:id="126"/>
    <w:bookmarkStart w:name="z1199" w:id="12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Фондовая биржа при идентификации клиента-юридического лица (учредителей (участников) клиента юридического лица, иностранной структуры без образования юридического лица) устанавливает и фиксирует следующие данные:</w:t>
      </w:r>
    </w:p>
    <w:bookmarkEnd w:id="127"/>
    <w:bookmarkStart w:name="z1200" w:id="12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наименование;</w:t>
      </w:r>
    </w:p>
    <w:bookmarkEnd w:id="128"/>
    <w:bookmarkStart w:name="z1201" w:id="12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регистрационный номер и дату государственной регистрации организации, наименование регистрирующего органа (при их наличии);</w:t>
      </w:r>
    </w:p>
    <w:bookmarkEnd w:id="129"/>
    <w:bookmarkStart w:name="z1202" w:id="13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адрес места регистрации и нахождения;</w:t>
      </w:r>
    </w:p>
    <w:bookmarkEnd w:id="130"/>
    <w:bookmarkStart w:name="z1203" w:id="13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характер деятельности;</w:t>
      </w:r>
    </w:p>
    <w:bookmarkEnd w:id="131"/>
    <w:bookmarkStart w:name="z1204" w:id="13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бизнес идентификационный номер (за исключением случаев, когда юридическому лицу не присвоен бизнес-идентификационный номер в соответствии с законодательством Республики Казахстан).</w:t>
      </w:r>
    </w:p>
    <w:bookmarkEnd w:id="132"/>
    <w:bookmarkStart w:name="z1205" w:id="13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Фондовая биржа при идентификации клиента-иностранной структуры без образования юридического лица устанавливает и фиксирует следующие данные:</w:t>
      </w:r>
    </w:p>
    <w:bookmarkEnd w:id="133"/>
    <w:bookmarkStart w:name="z1206" w:id="13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наименование, номер (при наличии), под которым иностранная структура без образования юридического лица зарегистрирована в иностранном государстве (на территории);</w:t>
      </w:r>
    </w:p>
    <w:bookmarkEnd w:id="134"/>
    <w:bookmarkStart w:name="z1207" w:id="13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адрес места нахождения;</w:t>
      </w:r>
    </w:p>
    <w:bookmarkEnd w:id="135"/>
    <w:bookmarkStart w:name="z1208" w:id="13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место ведения основной деятельности;</w:t>
      </w:r>
    </w:p>
    <w:bookmarkEnd w:id="136"/>
    <w:bookmarkStart w:name="z1209" w:id="13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характер деятельности;</w:t>
      </w:r>
    </w:p>
    <w:bookmarkEnd w:id="137"/>
    <w:bookmarkStart w:name="z1210" w:id="13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состав имущества, находящегося в управлении (собственности) (в отношении трастов и иных иностранных структур без образования юридического лица с аналогичной структурой или функцией).</w:t>
      </w:r>
    </w:p>
    <w:bookmarkEnd w:id="138"/>
    <w:bookmarkStart w:name="z1211" w:id="13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26. Документы, представляемые клиентом (его представителем) в целях подтверждения сведений о клиенте (его представителе) и бенефициарном собственнике, проверяются на их действительность.</w:t>
      </w:r>
    </w:p>
    <w:bookmarkEnd w:id="139"/>
    <w:bookmarkStart w:name="z1212" w:id="14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27. Программа идентификации клиента (его представителя) и бенефициарного собственника включает, но не ограничивается:</w:t>
      </w:r>
    </w:p>
    <w:bookmarkEnd w:id="140"/>
    <w:bookmarkStart w:name="z1213" w:id="14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1) порядок принятия клиентов на обслуживание, включая процедуру, основания и сроки принятия фондовой биржей решения об отказе в установлении деловых отношений и (или) в проведении операции, а также прекращения деловых отношений;</w:t>
      </w:r>
    </w:p>
    <w:bookmarkEnd w:id="141"/>
    <w:bookmarkStart w:name="z1214" w:id="14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порядок идентификации клиента (его представителя) и бенефициарного собственника, в том числе особенности процедур упрощенных и усиленных мер надлежащей проверки клиента;</w:t>
      </w:r>
    </w:p>
    <w:bookmarkEnd w:id="142"/>
    <w:bookmarkStart w:name="z1215" w:id="14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особенности проведения идентификации при установлении деловых отношений с иностранными финансовыми организациями;</w:t>
      </w:r>
    </w:p>
    <w:bookmarkEnd w:id="143"/>
    <w:bookmarkStart w:name="z1216" w:id="14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описание мер, направленных на выявление фондовой биржей среди клиентов (их представителей) и бенефициарных собственников, находящихся на обслуживании или принимаемых на обслуживание, публичных должностных лиц, их супругов и близких родственников;</w:t>
      </w:r>
    </w:p>
    <w:bookmarkEnd w:id="144"/>
    <w:bookmarkStart w:name="z1217" w:id="14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порядок проверки клиента (его представителя) и бенефициарного собственника на наличие в Перечне ФТ и Перечне ФРОМУ;</w:t>
      </w:r>
    </w:p>
    <w:bookmarkEnd w:id="145"/>
    <w:bookmarkStart w:name="z1218" w:id="14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особенности идентификации при дистанционном установлении деловых отношений (без личного присутствия клиента или его представителя);</w:t>
      </w:r>
    </w:p>
    <w:bookmarkEnd w:id="146"/>
    <w:bookmarkStart w:name="z1219" w:id="14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особенности идентификации клиентов путем получения сведений от других финансовых организаций;</w:t>
      </w:r>
    </w:p>
    <w:bookmarkEnd w:id="147"/>
    <w:bookmarkStart w:name="z1220" w:id="14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порядок проверки достоверности сведений о клиенте (его представителе) и бенефициарном собственнике;</w:t>
      </w:r>
    </w:p>
    <w:bookmarkEnd w:id="148"/>
    <w:bookmarkStart w:name="z1221" w:id="14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9) требования к форме, содержанию и порядку ведения досье клиента, обновления сведений, содержащихся в досье, с указанием периодичности обновления сведений;</w:t>
      </w:r>
    </w:p>
    <w:bookmarkEnd w:id="149"/>
    <w:bookmarkStart w:name="z1222" w:id="15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10) порядок оценки уровня риска клиента, основания оценки такого риска;</w:t>
      </w:r>
    </w:p>
    <w:bookmarkEnd w:id="150"/>
    <w:bookmarkStart w:name="z1223" w:id="15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11) порядок получения и представления по запросу фондовой биржей сведений о бенефициарных собственниках клиентов по форме и порядке, определенном уполномоченным органом по финансовому мониторингу в соответствии с частями третьей и четвертой </w:t>
      </w:r>
      <w:r>
        <w:rPr>
          <w:rFonts w:ascii="Times New Roman"/>
          <w:b w:val="false"/>
          <w:i w:val="false"/>
          <w:color w:val="000000"/>
          <w:sz w:val="28"/>
        </w:rPr>
        <w:t>пункта 5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5 Закона о ПОД/ФТ/ФРОМУ.</w:t>
      </w:r>
    </w:p>
    <w:bookmarkEnd w:id="151"/>
    <w:bookmarkStart w:name="z1224" w:id="15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12) особенности обмена сведениями, полученными в процессе идентификации клиента (его представителя) и бенефициарного собственника, в том числе хранения конфиденциальности таких сведений, в рамках выполнения групповых требований по ПОД/ФТ/ФРОМУ (при наличии).</w:t>
      </w:r>
    </w:p>
    <w:bookmarkEnd w:id="152"/>
    <w:bookmarkStart w:name="z1225" w:id="15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Если фондовая биржа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Законом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 на основании договора поручила иному лицу, применение в отношении клиентов фондовой биржи мер, предусмотренных подпунктами 1), 2), 2-1), 2-2) и 4) пункта 3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фондовая биржа разрабатывает правила взаимодействия с такими лицами, которые включают:</w:t>
      </w:r>
    </w:p>
    <w:bookmarkEnd w:id="153"/>
    <w:bookmarkStart w:name="z1226" w:id="15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процедуру заключения фондовой биржей договоров с лицами, которым поручено проведение идентификации, а также перечень должностных лиц фондовой биржи, уполномоченных заключать такие договоры;</w:t>
      </w:r>
    </w:p>
    <w:bookmarkEnd w:id="154"/>
    <w:bookmarkStart w:name="z1227" w:id="15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процедуру идентификации клиента (его представителя) и бенефициарного собственника в соответствии с договорами между фондовой биржей и лицами, которым поручено проведение идентификации;</w:t>
      </w:r>
    </w:p>
    <w:bookmarkEnd w:id="155"/>
    <w:bookmarkStart w:name="z1228" w:id="15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процедуру и сроки передачи фондовой бирже сведений, полученных при проведении идентификации, лицами, которым поручено проведение идентификации;</w:t>
      </w:r>
    </w:p>
    <w:bookmarkEnd w:id="156"/>
    <w:bookmarkStart w:name="z1229" w:id="15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процедуру осуществления фондовой биржей контроля за соблюдением лицами, которым поручено проведение идентификации, требований по идентификации, включая процедуру, сроки и полноту передачи фондовой бирже полученных сведений, а также меры, принимаемые фондовой биржей по устранению выявленных нарушений;</w:t>
      </w:r>
    </w:p>
    <w:bookmarkEnd w:id="157"/>
    <w:bookmarkStart w:name="z1230" w:id="15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основания, процедуру и сроки принятия фондовой биржей решения об одностороннем отказе от исполнения договора с лицами, которым поручено проведение идентификации, в случае несоблюдения ими требований по идентификации, в том числе процедур, сроков и полноты передачи фондовой бирже полученных сведений;</w:t>
      </w:r>
    </w:p>
    <w:bookmarkEnd w:id="158"/>
    <w:bookmarkStart w:name="z1231" w:id="15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перечень должностных лиц фондовой биржи, уполномоченных принимать решение об одностороннем отказе от исполнения договора с лицами, которым поручено проведение идентификации;</w:t>
      </w:r>
    </w:p>
    <w:bookmarkEnd w:id="159"/>
    <w:bookmarkStart w:name="z1232" w:id="16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положения об ответственности лиц, которым фондовая биржа поручила проведение идентификации, за несоблюдение ими требований по идентификации, включая процедуру, сроки и полноту передачи фондовой бирже полученных сведений;</w:t>
      </w:r>
    </w:p>
    <w:bookmarkEnd w:id="160"/>
    <w:bookmarkStart w:name="z1233" w:id="16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процедуру взаимодействия фондовой биржи с лицами, которым поручено проведение идентификации, по вопросам оказания им методологической помощи в целях выполнения требований по идентификации.</w:t>
      </w:r>
    </w:p>
    <w:bookmarkEnd w:id="161"/>
    <w:bookmarkStart w:name="z1234" w:id="16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Допускается включение фондовой биржей дополнительных условий в правила взаимодействия.</w:t>
      </w:r>
    </w:p>
    <w:bookmarkEnd w:id="162"/>
    <w:bookmarkStart w:name="z1235" w:id="16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Фондовая биржа, поручившая на основании договора иностранной финансовой организацией применение мер надлежащей проверки клиентов (их представителей) и бенефициарных собственников, предусмотренных подпунктами 1), 2), 2-1), 2-2) и 4) пункта 3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учитывает возможные риски ОД/ФТ/ФРОМУ.</w:t>
      </w:r>
    </w:p>
    <w:bookmarkEnd w:id="163"/>
    <w:bookmarkStart w:name="z1236" w:id="164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5. Программа мониторинга и изучения операций клиентов</w:t>
      </w:r>
    </w:p>
    <w:bookmarkEnd w:id="164"/>
    <w:bookmarkStart w:name="z1237" w:id="16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28. Фондовая биржа не совершает действия, предусмотренные пунктами 6, 6-1 и 8 </w:t>
      </w:r>
      <w:r>
        <w:rPr>
          <w:rFonts w:ascii="Times New Roman"/>
          <w:b w:val="false"/>
          <w:i w:val="false"/>
          <w:color w:val="000000"/>
          <w:sz w:val="28"/>
        </w:rPr>
        <w:t>статьи 5</w:t>
      </w:r>
      <w:r>
        <w:rPr>
          <w:rFonts w:ascii="Times New Roman"/>
          <w:b w:val="false"/>
          <w:i w:val="false"/>
          <w:color w:val="000000"/>
          <w:sz w:val="28"/>
        </w:rPr>
        <w:t xml:space="preserve"> Закона о ПОД/ФТ/ФРОМУ, в случае регистрации, пребывания или нахождения другого субъекта финансового мониторинга или иностранной финансовой организации в государстве (на территории), которое (которая) не выполняет и (или) недостаточно выполняет рекомендации Группы разработки финансовых мер борьбы с отмыванием денег (ФАТФ).</w:t>
      </w:r>
    </w:p>
    <w:bookmarkEnd w:id="165"/>
    <w:bookmarkStart w:name="z1238" w:id="16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29. В целях реализации требований </w:t>
      </w:r>
      <w:r>
        <w:rPr>
          <w:rFonts w:ascii="Times New Roman"/>
          <w:b w:val="false"/>
          <w:i w:val="false"/>
          <w:color w:val="000000"/>
          <w:sz w:val="28"/>
        </w:rPr>
        <w:t>Закона</w:t>
      </w:r>
      <w:r>
        <w:rPr>
          <w:rFonts w:ascii="Times New Roman"/>
          <w:b w:val="false"/>
          <w:i w:val="false"/>
          <w:color w:val="000000"/>
          <w:sz w:val="28"/>
        </w:rPr>
        <w:t xml:space="preserve"> о ПОД/ФТ/ФРОМУ по надлежащей проверке клиента, а также по выявлению и направлению в уполномоченный орган сообщений о пороговых и подозрительных операциях, фондовая биржа разрабатывает программу мониторинга и изучения операций клиентов.</w:t>
      </w:r>
    </w:p>
    <w:bookmarkEnd w:id="166"/>
    <w:bookmarkStart w:name="z1239" w:id="16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30. В рамках программы мониторинга и изучения операций клиентов фондовой биржей проводятся мероприятия по обновлению и (или) получению дополнительных сведений о клиентах (их представителях) и бенефициарных собственниках, а также по изучению операций клиентов и выявлению пороговых, необычных и подозрительных операций.</w:t>
      </w:r>
    </w:p>
    <w:bookmarkEnd w:id="167"/>
    <w:bookmarkStart w:name="z1240" w:id="16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Результаты мониторинга и изучения операций клиентов используются фондовой биржей для ежегодной оценки степени подверженности услуг фондовой биржи рискам ОД/ФТ/ФРОМУ, а также для пересмотра уровней рисков клиентов.</w:t>
      </w:r>
    </w:p>
    <w:bookmarkEnd w:id="168"/>
    <w:bookmarkStart w:name="z1241" w:id="16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Полученные в рамках реализации программы мониторинга и изучения операций клиента сведения вносятся в досье клиента, предусмотренное пунктом 23 Требований, и (или) хранятся на протяжении всего периода деловых отношений с клиентом и не менее пяти лет со дня их прекращения.</w:t>
      </w:r>
    </w:p>
    <w:bookmarkEnd w:id="169"/>
    <w:bookmarkStart w:name="z1242" w:id="17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31. Периодичность обновления и (или) необходимость получения дополнительных сведений о клиенте (его представителе) и бенефициарном собственнике устанавливаются фондовой биржей с учетом уровня риска клиента (группы клиентов) и (или) степени подверженности услуг фондовой биржи, которыми пользуется клиент, рискам ОД/ФТ/ФРОМУ.</w:t>
      </w:r>
    </w:p>
    <w:bookmarkEnd w:id="170"/>
    <w:bookmarkStart w:name="z1243" w:id="17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Обновление сведений о клиенте (его представителе) и бенефициарном собственнике с высоким уровнем риска осуществляется не реже одного раза в год.</w:t>
      </w:r>
    </w:p>
    <w:bookmarkEnd w:id="171"/>
    <w:bookmarkStart w:name="z1244" w:id="17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Проверка наличия клиента (его представителя) и бенефициарного собственника в Перечне ФТ (включения в Перечень ФТ) не зависит от уровня риска клиента и осуществляется по мере внесения изменений в Перечень ФТ (обновления Перечня ФТ).</w:t>
      </w:r>
    </w:p>
    <w:bookmarkEnd w:id="172"/>
    <w:bookmarkStart w:name="z1245" w:id="17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32. Степень изучения операций клиента определяется фондовой биржей с учетом уровня риска клиента (группы клиентов) и (или) степени подверженности услуг фондовой биржи, которыми пользуется клиент, рискам ОД/ФТ/ФРОМУ, а также с учетом имеющихся сценариев (схем) ОД/ФТ/ФРОМУ и (или) признаков необычных и подозрительных операций.</w:t>
      </w:r>
    </w:p>
    <w:bookmarkEnd w:id="173"/>
    <w:bookmarkStart w:name="z1246" w:id="17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Фондовой биржей изучаются операции, которые проводит (проводил) клиент за определенный период времени, в случае присвоения клиенту высокого уровня риска, а также в случае совершения клиентом подозрительной операции.</w:t>
      </w:r>
    </w:p>
    <w:bookmarkEnd w:id="174"/>
    <w:bookmarkStart w:name="z1247" w:id="17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33. Программа мониторинга и изучения операций клиентов включает, но не ограничивается:</w:t>
      </w:r>
    </w:p>
    <w:bookmarkEnd w:id="175"/>
    <w:bookmarkStart w:name="z1248" w:id="17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1) перечень признаков подозрительных операций, составленный на основе признаков определения подозрительной операции, определенных уполномоченным органом в соответствии с </w:t>
      </w:r>
      <w:r>
        <w:rPr>
          <w:rFonts w:ascii="Times New Roman"/>
          <w:b w:val="false"/>
          <w:i w:val="false"/>
          <w:color w:val="000000"/>
          <w:sz w:val="28"/>
        </w:rPr>
        <w:t>пунктом 2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10 Закона о ПОД/ФТ/ФРОМУ, а также разработанных организацией самостоятельно, за исключением признаков подозрительной деятельности клиента, подлежащей финансовому мониторингу;</w:t>
      </w:r>
    </w:p>
    <w:bookmarkEnd w:id="176"/>
    <w:bookmarkStart w:name="z1249" w:id="17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2) распределение обязанностей между подразделениями (работниками) фондовой биржи по обновлению ранее полученных и (или) получению дополнительных сведений о клиенте (его представителе) и бенефициарном собственнике в случаях, предусмотренных пунктами 19, 30 и 31 Требований;</w:t>
      </w:r>
    </w:p>
    <w:bookmarkEnd w:id="177"/>
    <w:bookmarkStart w:name="z1250" w:id="17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3) распределение обязанностей между подразделениями (работниками) фондовой биржи по выявлению и передаче между подразделениями (работниками) сведений о пороговых, необычных и подозрительных операциях;</w:t>
      </w:r>
    </w:p>
    <w:bookmarkEnd w:id="178"/>
    <w:bookmarkStart w:name="z1251" w:id="17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4) порядок, основания и срок принятия ответственным работником решения о квалификации операции клиента;</w:t>
      </w:r>
    </w:p>
    <w:bookmarkEnd w:id="179"/>
    <w:bookmarkStart w:name="z1252" w:id="18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5) порядок фиксирования (в том числе способы фиксирования) и хранения сведений о результатах изучения необычных операций, а также сведений о пороговых и подозрительных операциях (в том числе суммы операций, валюта платежа, данные о контрагенте клиента);</w:t>
      </w:r>
    </w:p>
    <w:bookmarkEnd w:id="180"/>
    <w:bookmarkStart w:name="z1253" w:id="18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6) порядок принятия и описание мер, принимаемых фондовой биржей в отношении клиента и его операций в случае осуществления клиентом систематически и (или) в значительных объемах необычных и (или) подозрительных операций.</w:t>
      </w:r>
    </w:p>
    <w:bookmarkEnd w:id="181"/>
    <w:bookmarkStart w:name="z1254" w:id="18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7) порядок представления в уполномоченный орган сообщений о пороговых и подозрительных операциях;</w:t>
      </w:r>
    </w:p>
    <w:bookmarkEnd w:id="182"/>
    <w:bookmarkStart w:name="z1255" w:id="18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8) порядок информирования (при необходимости) органа управления, исполнительного органа фонда и должностных лиц фондовой биржи о выявлении пороговой и подозрительной операции.</w:t>
      </w:r>
    </w:p>
    <w:bookmarkEnd w:id="183"/>
    <w:bookmarkStart w:name="z1256" w:id="18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34. При возникновении сомнений в части правомерности квалификации операции в качестве пороговой, а также при выявлении необычной или подозрительной операции, работник фондовой биржи, выявивший указанную операцию, направляет сообщение о такой операции ответственному работнику в порядке, форме и сроки, установленные внутренними документами фондовой биржи.</w:t>
      </w:r>
    </w:p>
    <w:bookmarkEnd w:id="184"/>
    <w:bookmarkStart w:name="z1257" w:id="18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В одном сообщении допускается содержание информации о нескольких операциях.</w:t>
      </w:r>
    </w:p>
    <w:bookmarkEnd w:id="185"/>
    <w:bookmarkStart w:name="z1258" w:id="18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Сообщения об операциях, указанные в части первой настоящего пункта, а также результаты их изучения хранятся фондовой биржей не менее пяти лет со дня прекращения деловых отношений с клиентом.</w:t>
      </w:r>
    </w:p>
    <w:bookmarkEnd w:id="186"/>
    <w:bookmarkStart w:name="z1259" w:id="187"/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</w:rPr>
        <w:t xml:space="preserve"> Глава 6. Программа подготовки и обучения работников фондовой биржи по вопросам ПОД/ФТ/ФРОМУ</w:t>
      </w:r>
    </w:p>
    <w:bookmarkEnd w:id="187"/>
    <w:bookmarkStart w:name="z1260" w:id="18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35. Целью Программы подготовки и обучения работников фондовой биржи по вопросам ПОД/ФТ/ФРОМУ (далее – Программа обучения) является получение работниками знаний и формирование навыков, необходимых для исполнения ими требований законодательства Республики Казахстан, а также правил внутреннего контроля и иных внутренних нормативных документов в сфере ПОД/ФТ/ФРОМУ.</w:t>
      </w:r>
    </w:p>
    <w:bookmarkEnd w:id="188"/>
    <w:bookmarkStart w:name="z1261" w:id="18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36. Программа обучения разрабатывается в соответствии с требованиями к субъектам финансового мониторинга по подготовке и обучению в сфере ПОД/ФТ/ФРОМУ, указанными в </w:t>
      </w:r>
      <w:r>
        <w:rPr>
          <w:rFonts w:ascii="Times New Roman"/>
          <w:b w:val="false"/>
          <w:i w:val="false"/>
          <w:color w:val="000000"/>
          <w:sz w:val="28"/>
        </w:rPr>
        <w:t>пункте 8</w:t>
      </w:r>
      <w:r>
        <w:rPr>
          <w:rFonts w:ascii="Times New Roman"/>
          <w:b w:val="false"/>
          <w:i w:val="false"/>
          <w:color w:val="000000"/>
          <w:sz w:val="28"/>
        </w:rPr>
        <w:t xml:space="preserve"> статьи 11 Закона о ПОД/ФТ/ФРОМУ.</w:t>
      </w:r>
    </w:p>
    <w:bookmarkEnd w:id="189"/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