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4522ab" w14:textId="c4522a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анализа данных, за исключением информации с ограниченным доступом, содержащихся в цифровых объектах государственных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31 марта 2021 года № 111/НҚ. Зарегистрирован в Министерстве юстиции Республики Казахстан 5 апреля 2021 года № 22481.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и.о. Министра искусственного интеллекта и цифрового развития РК от 14.07.2026 </w:t>
      </w:r>
      <w:r>
        <w:rPr>
          <w:rFonts w:ascii="Times New Roman"/>
          <w:b w:val="false"/>
          <w:i w:val="false"/>
          <w:color w:val="ff0000"/>
          <w:sz w:val="28"/>
        </w:rPr>
        <w:t>№ 411/НҚ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6-2 Закона Республики Казахстан "О доступе к информации"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271)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цифрового развития, инноваций и аэрокосмической промышленности Республики Казахстан, утвержденного постановлением Правительства Республики Казахстан от 12 июля 2019 года № 501,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цифрового развития, инноваций и аэрокосмической промышленности РК от 20.03.2025 </w:t>
      </w:r>
      <w:r>
        <w:rPr>
          <w:rFonts w:ascii="Times New Roman"/>
          <w:b w:val="false"/>
          <w:i w:val="false"/>
          <w:color w:val="000000"/>
          <w:sz w:val="28"/>
        </w:rPr>
        <w:t>№ 122/НҚ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анализа данных, за исключением информации с ограниченным доступом, содержащейся в цифровых объектах государственных органов.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и.о. Министра искусственного интеллекта и цифрового развития РК от 14.07.2026 </w:t>
      </w:r>
      <w:r>
        <w:rPr>
          <w:rFonts w:ascii="Times New Roman"/>
          <w:b w:val="false"/>
          <w:i w:val="false"/>
          <w:color w:val="ff0000"/>
          <w:sz w:val="28"/>
        </w:rPr>
        <w:t>№ 411/НҚ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цифровой трансформации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промышленности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общественного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2021 года № 111/НҚ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анализа данных, за исключением информации с ограниченным доступом, содержащихся в цифровых объектах государственных органов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и.о. Министра искусственного интеллекта и цифрового развития РК от 14.07.2026 </w:t>
      </w:r>
      <w:r>
        <w:rPr>
          <w:rFonts w:ascii="Times New Roman"/>
          <w:b w:val="false"/>
          <w:i w:val="false"/>
          <w:color w:val="ff0000"/>
          <w:sz w:val="28"/>
        </w:rPr>
        <w:t>№ 411/НҚ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5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6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анализа данных, за исключением информации с ограниченным доступом, содержащихся в цифровых объектах государственных органов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6-2 Закона Республики Казахстан "О доступе к информации", </w:t>
      </w:r>
      <w:r>
        <w:rPr>
          <w:rFonts w:ascii="Times New Roman"/>
          <w:b w:val="false"/>
          <w:i w:val="false"/>
          <w:color w:val="000000"/>
          <w:sz w:val="28"/>
        </w:rPr>
        <w:t>подпунктом 356)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846, и определяют порядок проведения анализа данных, за исключением информации с ограниченным доступом, содержащихся в цифровых объектах государственных органов.</w:t>
      </w:r>
    </w:p>
    <w:bookmarkEnd w:id="11"/>
    <w:bookmarkStart w:name="z6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2"/>
    <w:bookmarkStart w:name="z6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пользователь информации – физическое или юридическое лицо, запрашивающее и (или) использующее информацию;</w:t>
      </w:r>
    </w:p>
    <w:bookmarkEnd w:id="13"/>
    <w:bookmarkStart w:name="z6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архитектурно-координационный центр – юридическое лицо, определяемое Правительством Республики Казахстан, которое обеспечивает целостность, совместимость и эффективность цифровой архитектуры государственных органов, государственных юридических лиц, субъектов квазигосударственного сектора, юридических лиц, пятьдесят и более процентов голосующих акций (долей участия) которых прямо или косвенно принадлежат субъектам квазигосударственного сектора, а также иных организаций, участвующих в процессах государственного управления;</w:t>
      </w:r>
    </w:p>
    <w:bookmarkEnd w:id="14"/>
    <w:bookmarkStart w:name="z7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открытые данные – цифровые данные, представленные в машиночитаемой форме и предназначенные для свободного использования, обработки, повторной публикации и распространения, размещенные в открытом доступе;</w:t>
      </w:r>
    </w:p>
    <w:bookmarkEnd w:id="15"/>
    <w:bookmarkStart w:name="z7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набор открытых данных – систематизированная совокупность однотипных данных, представленных в форме открытых данных, состоящая из отдельных элементов, характеризующихся набором атрибутов, и позволяющая цифровым системам без участия человека идентифицировать, интерпретировать и обрабатывать такие элементы;</w:t>
      </w:r>
    </w:p>
    <w:bookmarkEnd w:id="16"/>
    <w:bookmarkStart w:name="z7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интернет-портал открытых данных (далее – интернет-портал) – компонент открытого правительства, обеспечивающий централизованное хранение описательной и ссылочной информации по открытым данным;</w:t>
      </w:r>
    </w:p>
    <w:bookmarkEnd w:id="17"/>
    <w:bookmarkStart w:name="z7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информация с ограниченным доступом – информация, отнесенная к государственным секретам, личной, семейной, банковской, коммерческой тайне, тайне медицинского работника и (или) иным охраняемым законом тайнам, персональные данные ограниченного доступа, а также служебная информация ограниченного распространения;</w:t>
      </w:r>
    </w:p>
    <w:bookmarkEnd w:id="18"/>
    <w:bookmarkStart w:name="z7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в сфере цифровизации (далее – уполномоченный орган) – центральный исполнительный орган, осуществляющий руководство и межотраслевую координацию в сфере цифровизации.</w:t>
      </w:r>
    </w:p>
    <w:bookmarkEnd w:id="19"/>
    <w:bookmarkStart w:name="z7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Анализ данных, за исключением информации с ограниченным доступом, содержащихся в цифровых объектах государственных органов, проводится с целью их последующего размещения на интернет-портале.</w:t>
      </w:r>
    </w:p>
    <w:bookmarkEnd w:id="20"/>
    <w:bookmarkStart w:name="z76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анализа данных, за исключением информации с ограниченным доступом, содержащихся в цифровых объектах государственных органов.</w:t>
      </w:r>
    </w:p>
    <w:bookmarkEnd w:id="21"/>
    <w:bookmarkStart w:name="z7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Уполномоченный орган в целях расширения количества наборов открытых данных на интернет-портале и повышения их востребованности пользователями информации, на основании предложений Комиссии, создаваемой в соответствии с Положением о Комиссии по вопросам доступа к информации,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информации и общественного развития Республики Казахстан от 13 июля 2023 года № 281-НҚ (зарегистрирован в Реестре государственной регистрации нормативных правовых актов под № 33096) (далее – Комиссия), формирует список государственных органов, подлежащих обследованию (далее – обследуемый государственный орган), для проведения анализа данных, за исключением информации с ограниченным доступом, содержащихся в цифровых объектах государственных органов.</w:t>
      </w:r>
    </w:p>
    <w:bookmarkEnd w:id="22"/>
    <w:bookmarkStart w:name="z7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Уполномоченный орган направляет в архитектурно-координационный центр официальный запрос в свободной форме о проведении анализа данных, содержащихся в цифровых объектах государственных органов, включенных в список.</w:t>
      </w:r>
    </w:p>
    <w:bookmarkEnd w:id="23"/>
    <w:bookmarkStart w:name="z7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Архитектурно-координационный центр направляет официальный запрос о предоставлении перечня цифровых систем и сведений о цифровых системах в обследуемый государственный орган,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на получение выгрузок из цифровых систем, со ссылкой на официальный запрос уполномоченного органа.</w:t>
      </w:r>
    </w:p>
    <w:bookmarkEnd w:id="24"/>
    <w:bookmarkStart w:name="z8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Обследуемый государственный орган в течение пяти рабочих дней со дня получения запроса предоставляет перечень цифровых систем и сведений о цифровых системах и разрешение о выгрузке из цифровых систем архитектурно-координационному центру.</w:t>
      </w:r>
    </w:p>
    <w:bookmarkEnd w:id="25"/>
    <w:bookmarkStart w:name="z8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Архитектурно-координационный центр в течение двух месяцев проводит анализ предоставленных выгрузок из цифровых систем, выявляет наличие открытых данных для расширения количества наборов открытых данных на интернет-портале. Разрабатывает проект технологического паспорта набора открытых данных (далее – проект паспорта)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6"/>
    <w:bookmarkStart w:name="z8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анализа данных архитектурно-координационный центр исходит из следующих критериев:</w:t>
      </w:r>
    </w:p>
    <w:bookmarkEnd w:id="27"/>
    <w:bookmarkStart w:name="z8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данные не являются информацией с ограниченным доступом;</w:t>
      </w:r>
    </w:p>
    <w:bookmarkEnd w:id="28"/>
    <w:bookmarkStart w:name="z8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данные востребованы гражданами и бизнесом. Востребованность определяется на основе объективных показателей, включая:</w:t>
      </w:r>
    </w:p>
    <w:bookmarkEnd w:id="29"/>
    <w:bookmarkStart w:name="z8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запросов на публикацию или актуализацию открытых данных, поступивших через интернет-портал;</w:t>
      </w:r>
    </w:p>
    <w:bookmarkEnd w:id="30"/>
    <w:bookmarkStart w:name="z8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обращения Национальной палаты предпринимателей Республики Казахстан "Атамекен";</w:t>
      </w:r>
    </w:p>
    <w:bookmarkEnd w:id="31"/>
    <w:bookmarkStart w:name="z8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исследований, аналитики и официальных опросов населения и бизнеса;</w:t>
      </w:r>
    </w:p>
    <w:bookmarkEnd w:id="32"/>
    <w:bookmarkStart w:name="z8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имеется высокая степень готовности данных для их публикации в формате открытых данных;</w:t>
      </w:r>
    </w:p>
    <w:bookmarkEnd w:id="33"/>
    <w:bookmarkStart w:name="z8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данные уже публикуются, но не в машиночитаемом виде.</w:t>
      </w:r>
    </w:p>
    <w:bookmarkEnd w:id="34"/>
    <w:bookmarkStart w:name="z9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проведения анализа данных архитектурно-координационный центр учитывают поступившие заявки пользователей интернет-портала на публикацию и актуализацию открытых данных, а также определяет потребности бизнеса посредством направления соответствующего запроса в адрес Национальной палаты предпринимателей Республики Казахстан "Атамекен".</w:t>
      </w:r>
    </w:p>
    <w:bookmarkEnd w:id="35"/>
    <w:bookmarkStart w:name="z9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Архитектурно-координационный центр направляет в государственный орган разработанные проекты паспортов на согласование в течение 10 (десяти) календарных дней со дня их составления.</w:t>
      </w:r>
    </w:p>
    <w:bookmarkEnd w:id="36"/>
    <w:bookmarkStart w:name="z9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итогам проведенного анализа архитектурно-координационный центр направляет проект паспорта в уполномоченный орган и уполномоченный орган в области доступа к информации для последующего вынесения на заседание Комиссии в течение 2 (двух) рабочих дней со дня завершения анализа.</w:t>
      </w:r>
    </w:p>
    <w:bookmarkEnd w:id="37"/>
    <w:bookmarkStart w:name="z9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Комиссия, с учетом общественных интересов в области доступа к информации и потребностей пользователей информации, вносит предложения к проектам паспортов.</w:t>
      </w:r>
    </w:p>
    <w:bookmarkEnd w:id="38"/>
    <w:bookmarkStart w:name="z9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замечаний и предложений членов Комиссии к проектам паспортов, архитектурно-координационный центр в течение двух рабочих дней со дня получения замечаний и предложений направляет их в соответствующие государственные органы.</w:t>
      </w:r>
    </w:p>
    <w:bookmarkEnd w:id="39"/>
    <w:bookmarkStart w:name="z9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органы обязаны рассмотреть поступившие замечания и предложения и не позднее пяти рабочих дней со дня их получения направить в уполномоченный орган в области доступа к информации мотивированный ответ о принятии или непринятии замечаний и предложений.</w:t>
      </w:r>
    </w:p>
    <w:bookmarkEnd w:id="40"/>
    <w:bookmarkStart w:name="z9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Проекты паспортов утверждаются государственными органами и наборы открытых данных размещаются на интернет-портале.</w:t>
      </w:r>
    </w:p>
    <w:bookmarkEnd w:id="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анализа данных, за исключением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с ограниченным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доступом, содержащихся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цифровых объектах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органов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цифровых систем и сведений о цифровых системах Перечень цифровых систем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цифровых системах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цифровых систем государственных органов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анализа данных, за исключением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с ограниченным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доступом, содержащихся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цифровых объектах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органов</w:t>
            </w:r>
          </w:p>
        </w:tc>
      </w:tr>
    </w:tbl>
    <w:bookmarkStart w:name="z61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Технологический паспорт набора открытых данных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"Наименование набора"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источника)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города разработки, год разработки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Общая часть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 Базовые сведения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 Полное наименование: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 Сокращенное наименование: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 Категория: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 Поставщик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 Краткое описание: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1.1.6 Ключевые слова: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 Актуализация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1.2.1 Периодичность обновления: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 Геопривязка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1.3.1 Наличие геопривязки: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1.3.2 Тип геометрии: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1.3.3 Тип геопривязки: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1.3.4 Технологическое наименование атрибута, в котором хранится адрес: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Описание 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 Перечень атрибутов и их базовые свойства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2050"/>
              <w:gridCol w:w="2050"/>
              <w:gridCol w:w="2050"/>
              <w:gridCol w:w="2050"/>
              <w:gridCol w:w="2050"/>
              <w:gridCol w:w="2050"/>
            </w:tblGrid>
            <w:tr>
              <w:trPr>
                <w:trHeight w:val="30" w:hRule="atLeast"/>
              </w:trPr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№ порядковый/ пункт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Технологическое наименование атрибута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Наименование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Групповой атрибут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Тип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Обязательность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1.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...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...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...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...</w:t>
                  </w:r>
                </w:p>
              </w:tc>
              <w:tc>
                <w:tcPr>
                  <w:tcW w:w="20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...</w:t>
                  </w: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 Дополнительные (специальные) требования к значениям атрибутов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4100"/>
              <w:gridCol w:w="4100"/>
              <w:gridCol w:w="4100"/>
            </w:tblGrid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№ порядковый/ пункт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Технологическое наименование атрибутов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Дополнительные (специальные) требования к значениям атрибутов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1.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...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...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Контрольные примеры записей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